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24CB" w14:textId="77777777" w:rsidR="00F863A4" w:rsidRDefault="00F863A4">
      <w:pPr>
        <w:tabs>
          <w:tab w:val="center" w:pos="4680"/>
          <w:tab w:val="right" w:pos="9360"/>
        </w:tabs>
        <w:spacing w:line="240" w:lineRule="auto"/>
      </w:pPr>
    </w:p>
    <w:tbl>
      <w:tblPr>
        <w:tblStyle w:val="a"/>
        <w:tblpPr w:leftFromText="180" w:rightFromText="180" w:vertAnchor="text" w:tblpX="3570"/>
        <w:tblW w:w="6150" w:type="dxa"/>
        <w:tblInd w:w="0" w:type="dxa"/>
        <w:tblLayout w:type="fixed"/>
        <w:tblLook w:val="0400" w:firstRow="0" w:lastRow="0" w:firstColumn="0" w:lastColumn="0" w:noHBand="0" w:noVBand="1"/>
      </w:tblPr>
      <w:tblGrid>
        <w:gridCol w:w="2355"/>
        <w:gridCol w:w="1560"/>
        <w:gridCol w:w="2235"/>
      </w:tblGrid>
      <w:tr w:rsidR="00F863A4" w14:paraId="02241A7C" w14:textId="77777777">
        <w:trPr>
          <w:tblHeader/>
        </w:trPr>
        <w:tc>
          <w:tcPr>
            <w:tcW w:w="2355" w:type="dxa"/>
            <w:tcBorders>
              <w:top w:val="single" w:sz="4" w:space="0" w:color="000000"/>
              <w:left w:val="single" w:sz="4" w:space="0" w:color="000000"/>
              <w:bottom w:val="single" w:sz="4" w:space="0" w:color="000000"/>
              <w:right w:val="single" w:sz="4" w:space="0" w:color="000000"/>
            </w:tcBorders>
            <w:vAlign w:val="center"/>
          </w:tcPr>
          <w:p w14:paraId="51C94D5F" w14:textId="77777777" w:rsidR="00F863A4"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Name</w:t>
            </w:r>
          </w:p>
        </w:tc>
        <w:tc>
          <w:tcPr>
            <w:tcW w:w="1560" w:type="dxa"/>
            <w:tcBorders>
              <w:top w:val="single" w:sz="4" w:space="0" w:color="000000"/>
              <w:left w:val="single" w:sz="4" w:space="0" w:color="000000"/>
              <w:bottom w:val="single" w:sz="4" w:space="0" w:color="000000"/>
              <w:right w:val="single" w:sz="4" w:space="0" w:color="000000"/>
            </w:tcBorders>
            <w:vAlign w:val="center"/>
          </w:tcPr>
          <w:p w14:paraId="32AA163F" w14:textId="77777777" w:rsidR="00F863A4"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Student ID</w:t>
            </w:r>
          </w:p>
        </w:tc>
        <w:tc>
          <w:tcPr>
            <w:tcW w:w="2235" w:type="dxa"/>
            <w:tcBorders>
              <w:top w:val="single" w:sz="4" w:space="0" w:color="000000"/>
              <w:left w:val="single" w:sz="4" w:space="0" w:color="000000"/>
              <w:bottom w:val="single" w:sz="4" w:space="0" w:color="000000"/>
              <w:right w:val="single" w:sz="4" w:space="0" w:color="000000"/>
            </w:tcBorders>
            <w:vAlign w:val="center"/>
          </w:tcPr>
          <w:p w14:paraId="42243578" w14:textId="77777777" w:rsidR="00F863A4"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Reference Reviewed     </w:t>
            </w:r>
          </w:p>
        </w:tc>
      </w:tr>
      <w:tr w:rsidR="00F863A4" w14:paraId="3B912E8B" w14:textId="77777777">
        <w:trPr>
          <w:tblHeader/>
        </w:trPr>
        <w:tc>
          <w:tcPr>
            <w:tcW w:w="2355" w:type="dxa"/>
            <w:tcBorders>
              <w:top w:val="single" w:sz="4" w:space="0" w:color="000000"/>
              <w:left w:val="single" w:sz="4" w:space="0" w:color="000000"/>
              <w:bottom w:val="single" w:sz="4" w:space="0" w:color="000000"/>
              <w:right w:val="single" w:sz="4" w:space="0" w:color="000000"/>
            </w:tcBorders>
            <w:vAlign w:val="center"/>
          </w:tcPr>
          <w:p w14:paraId="3E18AB03" w14:textId="77777777" w:rsidR="00F863A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Md. Minhajul Islam               </w:t>
            </w:r>
          </w:p>
        </w:tc>
        <w:tc>
          <w:tcPr>
            <w:tcW w:w="1560" w:type="dxa"/>
            <w:tcBorders>
              <w:top w:val="single" w:sz="4" w:space="0" w:color="000000"/>
              <w:left w:val="single" w:sz="4" w:space="0" w:color="000000"/>
              <w:bottom w:val="single" w:sz="4" w:space="0" w:color="000000"/>
              <w:right w:val="single" w:sz="4" w:space="0" w:color="000000"/>
            </w:tcBorders>
            <w:vAlign w:val="center"/>
          </w:tcPr>
          <w:p w14:paraId="53657320" w14:textId="77777777" w:rsidR="00F863A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2211022042</w:t>
            </w:r>
          </w:p>
        </w:tc>
        <w:tc>
          <w:tcPr>
            <w:tcW w:w="2235" w:type="dxa"/>
            <w:tcBorders>
              <w:top w:val="single" w:sz="4" w:space="0" w:color="000000"/>
              <w:left w:val="single" w:sz="4" w:space="0" w:color="000000"/>
              <w:bottom w:val="single" w:sz="4" w:space="0" w:color="000000"/>
              <w:right w:val="single" w:sz="4" w:space="0" w:color="000000"/>
            </w:tcBorders>
            <w:vAlign w:val="center"/>
          </w:tcPr>
          <w:p w14:paraId="75FE65B8" w14:textId="77777777" w:rsidR="00F863A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Reference 1, 2, 3,4</w:t>
            </w:r>
          </w:p>
        </w:tc>
      </w:tr>
      <w:tr w:rsidR="00F863A4" w14:paraId="6D7C3D97" w14:textId="77777777">
        <w:tc>
          <w:tcPr>
            <w:tcW w:w="2355" w:type="dxa"/>
            <w:tcBorders>
              <w:top w:val="single" w:sz="4" w:space="0" w:color="000000"/>
              <w:left w:val="single" w:sz="4" w:space="0" w:color="000000"/>
              <w:bottom w:val="single" w:sz="4" w:space="0" w:color="000000"/>
              <w:right w:val="single" w:sz="4" w:space="0" w:color="000000"/>
            </w:tcBorders>
            <w:vAlign w:val="center"/>
          </w:tcPr>
          <w:p w14:paraId="4BB35726" w14:textId="77777777" w:rsidR="00F863A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Nur Ibne Kawsar Zitu</w:t>
            </w:r>
          </w:p>
        </w:tc>
        <w:tc>
          <w:tcPr>
            <w:tcW w:w="1560" w:type="dxa"/>
            <w:tcBorders>
              <w:top w:val="single" w:sz="4" w:space="0" w:color="000000"/>
              <w:left w:val="single" w:sz="4" w:space="0" w:color="000000"/>
              <w:bottom w:val="single" w:sz="4" w:space="0" w:color="000000"/>
              <w:right w:val="single" w:sz="4" w:space="0" w:color="000000"/>
            </w:tcBorders>
            <w:vAlign w:val="center"/>
          </w:tcPr>
          <w:p w14:paraId="3A231FAD" w14:textId="77777777" w:rsidR="00F863A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2212021042</w:t>
            </w:r>
          </w:p>
        </w:tc>
        <w:tc>
          <w:tcPr>
            <w:tcW w:w="2235" w:type="dxa"/>
            <w:tcBorders>
              <w:top w:val="single" w:sz="4" w:space="0" w:color="000000"/>
              <w:left w:val="single" w:sz="4" w:space="0" w:color="000000"/>
              <w:bottom w:val="single" w:sz="4" w:space="0" w:color="000000"/>
              <w:right w:val="single" w:sz="4" w:space="0" w:color="000000"/>
            </w:tcBorders>
            <w:vAlign w:val="center"/>
          </w:tcPr>
          <w:p w14:paraId="708305A3" w14:textId="77777777" w:rsidR="00F863A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Reference 5</w:t>
            </w:r>
          </w:p>
        </w:tc>
      </w:tr>
      <w:tr w:rsidR="00F863A4" w14:paraId="301D7A09" w14:textId="77777777">
        <w:tc>
          <w:tcPr>
            <w:tcW w:w="2355" w:type="dxa"/>
            <w:tcBorders>
              <w:top w:val="single" w:sz="4" w:space="0" w:color="000000"/>
              <w:left w:val="single" w:sz="4" w:space="0" w:color="000000"/>
              <w:bottom w:val="single" w:sz="4" w:space="0" w:color="000000"/>
              <w:right w:val="single" w:sz="4" w:space="0" w:color="000000"/>
            </w:tcBorders>
            <w:vAlign w:val="center"/>
          </w:tcPr>
          <w:p w14:paraId="5253C1F7" w14:textId="77777777" w:rsidR="00F863A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Kazi Tazrian Mon</w:t>
            </w:r>
          </w:p>
        </w:tc>
        <w:tc>
          <w:tcPr>
            <w:tcW w:w="1560" w:type="dxa"/>
            <w:tcBorders>
              <w:top w:val="single" w:sz="4" w:space="0" w:color="000000"/>
              <w:left w:val="single" w:sz="4" w:space="0" w:color="000000"/>
              <w:bottom w:val="single" w:sz="4" w:space="0" w:color="000000"/>
              <w:right w:val="single" w:sz="4" w:space="0" w:color="000000"/>
            </w:tcBorders>
            <w:vAlign w:val="center"/>
          </w:tcPr>
          <w:p w14:paraId="72450129" w14:textId="77777777" w:rsidR="00F863A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2132798642</w:t>
            </w:r>
          </w:p>
        </w:tc>
        <w:tc>
          <w:tcPr>
            <w:tcW w:w="2235" w:type="dxa"/>
            <w:tcBorders>
              <w:top w:val="single" w:sz="4" w:space="0" w:color="000000"/>
              <w:left w:val="single" w:sz="4" w:space="0" w:color="000000"/>
              <w:bottom w:val="single" w:sz="4" w:space="0" w:color="000000"/>
              <w:right w:val="single" w:sz="4" w:space="0" w:color="000000"/>
            </w:tcBorders>
            <w:vAlign w:val="center"/>
          </w:tcPr>
          <w:p w14:paraId="5C4A7954" w14:textId="2538965B" w:rsidR="00F863A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Reference </w:t>
            </w:r>
            <w:r w:rsidR="00F60E5C">
              <w:rPr>
                <w:rFonts w:ascii="Times New Roman" w:eastAsia="Times New Roman" w:hAnsi="Times New Roman" w:cs="Times New Roman"/>
                <w:sz w:val="24"/>
                <w:szCs w:val="24"/>
              </w:rPr>
              <w:t>6,</w:t>
            </w:r>
            <w:r w:rsidR="007D0AA9">
              <w:rPr>
                <w:rFonts w:ascii="Times New Roman" w:eastAsia="Times New Roman" w:hAnsi="Times New Roman" w:cs="Times New Roman"/>
                <w:sz w:val="24"/>
                <w:szCs w:val="24"/>
              </w:rPr>
              <w:t>7,8</w:t>
            </w:r>
          </w:p>
        </w:tc>
      </w:tr>
    </w:tbl>
    <w:p w14:paraId="75DF8209" w14:textId="77777777" w:rsidR="00F863A4" w:rsidRDefault="00000000">
      <w:pPr>
        <w:tabs>
          <w:tab w:val="center" w:pos="4680"/>
          <w:tab w:val="right" w:pos="9360"/>
        </w:tabs>
        <w:spacing w:line="240" w:lineRule="auto"/>
        <w:rPr>
          <w:rFonts w:ascii="Times New Roman" w:eastAsia="Times New Roman" w:hAnsi="Times New Roman" w:cs="Times New Roman"/>
          <w:b/>
          <w:bCs/>
          <w:sz w:val="42"/>
          <w:szCs w:val="42"/>
        </w:rPr>
      </w:pPr>
      <w:r>
        <w:rPr>
          <w:rFonts w:ascii="Times New Roman" w:eastAsia="Times New Roman" w:hAnsi="Times New Roman" w:cs="Times New Roman"/>
          <w:b/>
          <w:bCs/>
          <w:sz w:val="42"/>
          <w:szCs w:val="42"/>
        </w:rPr>
        <w:t>Literature Review</w:t>
      </w:r>
    </w:p>
    <w:p w14:paraId="1A8C7A26" w14:textId="482FFDDA" w:rsidR="00F863A4" w:rsidRDefault="00000000">
      <w:pPr>
        <w:tabs>
          <w:tab w:val="center" w:pos="4680"/>
          <w:tab w:val="right" w:pos="9360"/>
        </w:tabs>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CSE499</w:t>
      </w:r>
      <w:r w:rsidR="008B7C08">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 Section 15</w:t>
      </w:r>
      <w:r>
        <w:rPr>
          <w:rFonts w:ascii="Times New Roman" w:eastAsia="Times New Roman" w:hAnsi="Times New Roman" w:cs="Times New Roman"/>
          <w:b/>
          <w:bCs/>
          <w:sz w:val="24"/>
          <w:szCs w:val="24"/>
        </w:rPr>
        <w:t xml:space="preserve">  </w:t>
      </w:r>
    </w:p>
    <w:p w14:paraId="1A36C66B" w14:textId="77777777" w:rsidR="00F863A4" w:rsidRDefault="00F863A4">
      <w:pPr>
        <w:tabs>
          <w:tab w:val="center" w:pos="4680"/>
          <w:tab w:val="right" w:pos="9360"/>
        </w:tabs>
        <w:spacing w:line="240" w:lineRule="auto"/>
        <w:rPr>
          <w:rFonts w:ascii="Times New Roman" w:eastAsia="Times New Roman" w:hAnsi="Times New Roman" w:cs="Times New Roman"/>
          <w:b/>
          <w:bCs/>
          <w:sz w:val="24"/>
          <w:szCs w:val="24"/>
        </w:rPr>
      </w:pPr>
    </w:p>
    <w:p w14:paraId="4266BCB4" w14:textId="77777777" w:rsidR="00F863A4" w:rsidRDefault="00F863A4">
      <w:pPr>
        <w:spacing w:before="240" w:after="240" w:line="480" w:lineRule="auto"/>
        <w:rPr>
          <w:rFonts w:ascii="Times New Roman" w:eastAsia="Times New Roman" w:hAnsi="Times New Roman" w:cs="Times New Roman"/>
          <w:sz w:val="24"/>
          <w:szCs w:val="24"/>
        </w:rPr>
      </w:pPr>
    </w:p>
    <w:p w14:paraId="7A622A51" w14:textId="77777777" w:rsidR="00F863A4" w:rsidRDefault="00000000">
      <w:pPr>
        <w:spacing w:before="240" w:after="240" w:line="48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4"/>
          <w:szCs w:val="24"/>
        </w:rPr>
        <w:t xml:space="preserve">Lugmayr et al. </w:t>
      </w:r>
      <w:r>
        <w:rPr>
          <w:rFonts w:ascii="Times New Roman" w:eastAsia="Times New Roman" w:hAnsi="Times New Roman" w:cs="Times New Roman"/>
          <w:sz w:val="24"/>
          <w:szCs w:val="24"/>
        </w:rPr>
        <w:t xml:space="preserve">proposed RePaint, a training-free diffusion inpainting approach that repurposes a pretrained unconditional DDPM by repeatedly injecting known pixels during reverse diffusion and introducing a resampling “jump” schedule to improve global semantic consistency rather than only local texture </w:t>
      </w:r>
      <w:proofErr w:type="gramStart"/>
      <w:r>
        <w:rPr>
          <w:rFonts w:ascii="Times New Roman" w:eastAsia="Times New Roman" w:hAnsi="Times New Roman" w:cs="Times New Roman"/>
          <w:sz w:val="24"/>
          <w:szCs w:val="24"/>
        </w:rPr>
        <w:t>reconstruction</w:t>
      </w:r>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This methodology enables the model to generalize across arbitrary mask distributions without retraining. The authors evaluated RePaint on CelebA-HQ, Places2 and ImageNet using narrow, wide and irregular masks, reporting strong perceptual quality improvements over GAN-based baselines. Quantitatively, the method achieved LPIPS values of approximately 0.059 (Wide) and 0.028 (Narrow) on CelebA-HQ, while on ImageNet LPIPS reached about 0.134 (Wide) and 0.064 (Narrow), demonstrating strong perceptual similarity across datasets. The efficiency advantage of the approach lies in eliminating additional training and relying solely on inference-time sampling modification. However, the resampling schedule significantly increases diffusion iterations, often requiring hundreds to thousands of steps, indicating that although the method provides strong mask generalization and visual realism, reducing sampling complexity remains important for practical real-time and edge deployment.</w:t>
      </w:r>
    </w:p>
    <w:p w14:paraId="22FE58F8" w14:textId="2BF0B3A1" w:rsidR="00F863A4" w:rsidRDefault="00000000">
      <w:pPr>
        <w:spacing w:before="240" w:after="240" w:line="48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4"/>
          <w:szCs w:val="24"/>
        </w:rPr>
        <w:t>Corneanu et al.</w:t>
      </w:r>
      <w:r>
        <w:rPr>
          <w:rFonts w:ascii="Times New Roman" w:eastAsia="Times New Roman" w:hAnsi="Times New Roman" w:cs="Times New Roman"/>
          <w:sz w:val="24"/>
          <w:szCs w:val="24"/>
        </w:rPr>
        <w:t xml:space="preserve"> introduced LatentPaint, an inpainting framework designed to address the computational bottleneck of post-conditioned diffusion by performing information propagation and fusion in latent space instead of pixel space</w:t>
      </w:r>
      <w:r w:rsidR="009934E7">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The methodology integrates a lightweight propagation module that adds less than one percent additional parameters while enabling effective contextual conditioning during denoising. Experimental evaluation on CelebA-HQ under thick mask settings demonstrated a strong quality-efficiency trade-off, </w:t>
      </w:r>
      <w:r>
        <w:rPr>
          <w:rFonts w:ascii="Times New Roman" w:eastAsia="Times New Roman" w:hAnsi="Times New Roman" w:cs="Times New Roman"/>
          <w:sz w:val="24"/>
          <w:szCs w:val="24"/>
        </w:rPr>
        <w:lastRenderedPageBreak/>
        <w:t xml:space="preserve">where LatentPaint achieved FID around 7.06 and LPIPS near 0.068 using 250 diffusion steps and approximately 55 runtime units. Compared to latent diffusion baselines (FID 12.51, LPIPS 0.081) and </w:t>
      </w:r>
      <w:proofErr w:type="gramStart"/>
      <w:r>
        <w:rPr>
          <w:rFonts w:ascii="Times New Roman" w:eastAsia="Times New Roman" w:hAnsi="Times New Roman" w:cs="Times New Roman"/>
          <w:sz w:val="24"/>
          <w:szCs w:val="24"/>
        </w:rPr>
        <w:t>RePaint</w:t>
      </w:r>
      <w:proofErr w:type="gramEnd"/>
      <w:r w:rsidR="009934E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required about 4570 steps with </w:t>
      </w:r>
      <w:r w:rsidR="009934E7">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runtime </w:t>
      </w:r>
      <w:r w:rsidR="009934E7">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around 535 units, the method significantly reduced computational cost while maintaining visual fidelity. The lightweight contribution emerges from shifting expensive operations into compressed latent representations and avoiding large resampling loops. Despite these improvements, the framework still relies on a standard diffusion backbone and multi-step sampling, suggesting further opportunity for architectural compression and aggressive step reduction to support sub-second edge inference.</w:t>
      </w:r>
    </w:p>
    <w:p w14:paraId="12A7D92B" w14:textId="4C356A2F" w:rsidR="00F863A4" w:rsidRDefault="00000000">
      <w:pPr>
        <w:spacing w:before="240" w:after="240" w:line="48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4"/>
          <w:szCs w:val="24"/>
        </w:rPr>
        <w:t>Zhang et al.</w:t>
      </w:r>
      <w:r>
        <w:rPr>
          <w:rFonts w:ascii="Times New Roman" w:eastAsia="Times New Roman" w:hAnsi="Times New Roman" w:cs="Times New Roman"/>
          <w:sz w:val="24"/>
          <w:szCs w:val="24"/>
        </w:rPr>
        <w:t xml:space="preserve"> proposed a speed-optimized diffusion inpainting pipeline that combines a Light-Weight Diffusion Model with skip-step DDIM sampling and a coarse-to-fine denoising strategy, where generation begins at low resolution and progressively refines details using fewer high-resolution steps</w:t>
      </w:r>
      <w:r w:rsidR="009934E7">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This design directly targets the latency limitations of standard diffusion inpainting. The authors evaluated the approach on CelebA-HQ and ImageNet across multiple mask types, reporting SSIM values up to approximately 0.918 for narrow masks and LPIPS around 0.039, while maintaining strong FID performance</w:t>
      </w:r>
      <w:r w:rsidR="009934E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such as about 4.14 under wide mask evaluation. Their results further showed consistent performance across challenging mask patterns</w:t>
      </w:r>
      <w:r w:rsidR="009934E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including alternating lines and super-resolution tasks, with FID values such as 7.01 and 16.60</w:t>
      </w:r>
      <w:r w:rsidR="009934E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respectively. Runtime comparisons indicated substantial acceleration, with per-mask inference around 2.32 seconds versus 2.51 seconds for RePaint under the same protocol and an overall claim of roughly sixty-times speed improvement compared to traditional DDPM pipelines. The lightweight aspect is achieved through parameter reduction, step skipping and hierarchical sampling. Nevertheless, evaluation is largely GPU-based and the method depends on multiple optimization strategies, indicating </w:t>
      </w:r>
      <w:r>
        <w:rPr>
          <w:rFonts w:ascii="Times New Roman" w:eastAsia="Times New Roman" w:hAnsi="Times New Roman" w:cs="Times New Roman"/>
          <w:sz w:val="24"/>
          <w:szCs w:val="24"/>
        </w:rPr>
        <w:lastRenderedPageBreak/>
        <w:t>that additional hardware-aware design and model compression may be required to ensure consistent performance on mobile and edge devices.</w:t>
      </w:r>
    </w:p>
    <w:p w14:paraId="4C430D81" w14:textId="77777777" w:rsidR="00F863A4" w:rsidRDefault="00000000">
      <w:pPr>
        <w:spacing w:before="240" w:after="240" w:line="48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4"/>
          <w:szCs w:val="24"/>
        </w:rPr>
        <w:t xml:space="preserve">Sargsyan et al. </w:t>
      </w:r>
      <w:r>
        <w:rPr>
          <w:rFonts w:ascii="Times New Roman" w:eastAsia="Times New Roman" w:hAnsi="Times New Roman" w:cs="Times New Roman"/>
          <w:sz w:val="24"/>
          <w:szCs w:val="24"/>
        </w:rPr>
        <w:t xml:space="preserve">proposed MI-GAN, a mobile-focused image inpainting architecture designed with a single-stage fully convolutional generator that employs </w:t>
      </w:r>
      <w:proofErr w:type="spellStart"/>
      <w:r>
        <w:rPr>
          <w:rFonts w:ascii="Times New Roman" w:eastAsia="Times New Roman" w:hAnsi="Times New Roman" w:cs="Times New Roman"/>
          <w:sz w:val="24"/>
          <w:szCs w:val="24"/>
        </w:rPr>
        <w:t>depthwise</w:t>
      </w:r>
      <w:proofErr w:type="spellEnd"/>
      <w:r>
        <w:rPr>
          <w:rFonts w:ascii="Times New Roman" w:eastAsia="Times New Roman" w:hAnsi="Times New Roman" w:cs="Times New Roman"/>
          <w:sz w:val="24"/>
          <w:szCs w:val="24"/>
        </w:rPr>
        <w:t xml:space="preserve"> separable convolutions, structural re-parameterization and knowledge distillation from a stronger teacher model to balance efficiency and perceptual </w:t>
      </w:r>
      <w:proofErr w:type="gramStart"/>
      <w:r>
        <w:rPr>
          <w:rFonts w:ascii="Times New Roman" w:eastAsia="Times New Roman" w:hAnsi="Times New Roman" w:cs="Times New Roman"/>
          <w:sz w:val="24"/>
          <w:szCs w:val="24"/>
        </w:rPr>
        <w:t>quality</w:t>
      </w:r>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The methodology emphasizes maintaining competitive reconstruction while drastically reducing computational requirements. Experimental evaluation on Places2 and CelebA-HQ showed that at 256×256 resolution MI-GAN achieved FID around 11.83 with approximately 5.95 million parameters and 11.19 GFLOPs, significantly lower complexity than </w:t>
      </w:r>
      <w:proofErr w:type="spellStart"/>
      <w:r>
        <w:rPr>
          <w:rFonts w:ascii="Times New Roman" w:eastAsia="Times New Roman" w:hAnsi="Times New Roman" w:cs="Times New Roman"/>
          <w:sz w:val="24"/>
          <w:szCs w:val="24"/>
        </w:rPr>
        <w:t>LaMa</w:t>
      </w:r>
      <w:proofErr w:type="spellEnd"/>
      <w:r>
        <w:rPr>
          <w:rFonts w:ascii="Times New Roman" w:eastAsia="Times New Roman" w:hAnsi="Times New Roman" w:cs="Times New Roman"/>
          <w:sz w:val="24"/>
          <w:szCs w:val="24"/>
        </w:rPr>
        <w:t xml:space="preserve"> (FID 22.00, 32.05 GFLOPs, 27.05M parameters) and Co-Mod-GAN (FID 9.32 but 91.21 GFLOPs and 79.17M parameters). At 512×512 resolution, the model maintained strong performance with FID near 10.00 while using about 6M parameters. Real device benchmarks demonstrated substantial latency improvements, for example around 296 ms on iPhone 14 Pro Max compared to over 1374 ms for heavier baselines. The lightweight contribution clearly demonstrates that architectural simplification and distillation enable real-time mobile inpainting. However, the GAN-based formulation does not fully exploit diffusion models’ strong generative diversity and global prior, suggesting potential for approaches that retain diffusion quality while achieving similar mobile efficiency.</w:t>
      </w:r>
    </w:p>
    <w:p w14:paraId="4369E142" w14:textId="77777777" w:rsidR="00F863A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Zhao et al. </w:t>
      </w:r>
      <w:r>
        <w:rPr>
          <w:rFonts w:ascii="Times New Roman" w:eastAsia="Times New Roman" w:hAnsi="Times New Roman" w:cs="Times New Roman"/>
          <w:sz w:val="24"/>
          <w:szCs w:val="24"/>
        </w:rPr>
        <w:t xml:space="preserve">proposed </w:t>
      </w:r>
      <w:proofErr w:type="spellStart"/>
      <w:r>
        <w:rPr>
          <w:rFonts w:ascii="Times New Roman" w:eastAsia="Times New Roman" w:hAnsi="Times New Roman" w:cs="Times New Roman"/>
          <w:sz w:val="24"/>
          <w:szCs w:val="24"/>
        </w:rPr>
        <w:t>MobileDiffusion</w:t>
      </w:r>
      <w:proofErr w:type="spellEnd"/>
      <w:r>
        <w:rPr>
          <w:rFonts w:ascii="Times New Roman" w:eastAsia="Times New Roman" w:hAnsi="Times New Roman" w:cs="Times New Roman"/>
          <w:sz w:val="24"/>
          <w:szCs w:val="24"/>
        </w:rPr>
        <w:t xml:space="preserve">, an efficient diffusion framework specifically designed for on-device generation that introduces architectural simplification, diffusion-GAN hybrid training and aggressive step reduction including one-step generation </w:t>
      </w:r>
      <w:proofErr w:type="gramStart"/>
      <w:r>
        <w:rPr>
          <w:rFonts w:ascii="Times New Roman" w:eastAsia="Times New Roman" w:hAnsi="Times New Roman" w:cs="Times New Roman"/>
          <w:sz w:val="24"/>
          <w:szCs w:val="24"/>
        </w:rPr>
        <w:t>variants</w:t>
      </w:r>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The methodology focuses on minimizing denoising iterations while preserving perceptual quality, enabling diffusion to operate under strict mobile constraints. Quantitative evaluation on MS-</w:t>
      </w:r>
      <w:r>
        <w:rPr>
          <w:rFonts w:ascii="Times New Roman" w:eastAsia="Times New Roman" w:hAnsi="Times New Roman" w:cs="Times New Roman"/>
          <w:sz w:val="24"/>
          <w:szCs w:val="24"/>
        </w:rPr>
        <w:lastRenderedPageBreak/>
        <w:t>COCO reported FID around 8.65 for multi-step variants and approximately 11.67 for one-step generation, accompanied by competitive CLIP scores indicating strong semantic alignment. Hardware evaluation on iPhone 15 Pro showed total generation latency of about 238 ms for one-step models, compared to several seconds for standard Stable Diffusion pipelines such as roughly 7429 ms for 20-step SD1.5 and 1740 ms for faster multi-step baselines. This demonstrates that architectural redesign and step minimization can bring diffusion into real-time mobile scenarios. While the framework highlights the feasibility of mobile diffusion and demonstrates downstream capability including inpainting, detailed benchmarking using standard inpainting datasets, mask protocols and reconstruction metrics remains limited, indicating opportunity for task-specific lightweight diffusion inpainting research that combines mobile optimization with rigorous inpainting evaluation.</w:t>
      </w:r>
    </w:p>
    <w:p w14:paraId="4FF3812F" w14:textId="78B43322" w:rsidR="00F863A4"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reviewed literature consistently highlights the growing need to reduce the computational cost of diffusion-based image generation and inpainting while preserving visual quality. RePaint demonstrates strong mask generalization but increases sampling complexity; LatentPaint reduces runtime through latent-space conditioning; speed-optimized DDPM approaches introduce step-skipping and hierarchical sampling; and MI-GAN and </w:t>
      </w:r>
      <w:r w:rsidR="009934E7">
        <w:rPr>
          <w:rFonts w:ascii="Times New Roman" w:eastAsia="Times New Roman" w:hAnsi="Times New Roman" w:cs="Times New Roman"/>
          <w:sz w:val="24"/>
          <w:szCs w:val="24"/>
        </w:rPr>
        <w:t>Mobile Diffusion</w:t>
      </w:r>
      <w:r>
        <w:rPr>
          <w:rFonts w:ascii="Times New Roman" w:eastAsia="Times New Roman" w:hAnsi="Times New Roman" w:cs="Times New Roman"/>
          <w:sz w:val="24"/>
          <w:szCs w:val="24"/>
        </w:rPr>
        <w:t xml:space="preserve"> show that architectural simplification and parameter reduction are essential for mobile and edge deployment. Despite these advances, many methods either rely on heavy multi-step sampling, large backbone architectures, or complex hybrid training strategies. In contrast, our work focuses on a controlled architectural compression approach within a standard DDPM framework, systematically evaluating how reducing depth, width, attention modules, and convolution complexity affects FID and inference speed. Our experimental results show that moderate architectural reduction—particularly depth reduction—can significantly decrease parameter count and improve efficiency while maintaining comparable generative quality. Therefore, our proposed solution is a lightweight diffusion backbone </w:t>
      </w:r>
      <w:r>
        <w:rPr>
          <w:rFonts w:ascii="Times New Roman" w:eastAsia="Times New Roman" w:hAnsi="Times New Roman" w:cs="Times New Roman"/>
          <w:sz w:val="24"/>
          <w:szCs w:val="24"/>
        </w:rPr>
        <w:lastRenderedPageBreak/>
        <w:t>optimized through structural simplification rather than complex sampling redesign, providing a practical and reproducible pathway toward efficient diffusion models suitable for resource-constrained environments.</w:t>
      </w:r>
    </w:p>
    <w:p w14:paraId="680C0A9C" w14:textId="0767AF43" w:rsidR="007D0AA9" w:rsidRDefault="00F60E5C" w:rsidP="005C5069">
      <w:pPr>
        <w:spacing w:before="240" w:after="240" w:line="480" w:lineRule="auto"/>
        <w:rPr>
          <w:rFonts w:ascii="Times New Roman" w:eastAsia="Times New Roman" w:hAnsi="Times New Roman" w:cs="Times New Roman"/>
          <w:sz w:val="24"/>
          <w:szCs w:val="24"/>
          <w:lang w:val="en-US"/>
        </w:rPr>
      </w:pPr>
      <w:r w:rsidRPr="00F60E5C">
        <w:rPr>
          <w:rFonts w:ascii="Times New Roman" w:eastAsia="Times New Roman" w:hAnsi="Times New Roman" w:cs="Times New Roman"/>
          <w:b/>
          <w:bCs/>
          <w:sz w:val="24"/>
          <w:szCs w:val="24"/>
        </w:rPr>
        <w:t>Buzovkin et al.</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proposed a </w:t>
      </w:r>
      <w:r w:rsidRPr="00F60E5C">
        <w:rPr>
          <w:rFonts w:eastAsia="Times New Roman"/>
          <w:lang w:val="en-US"/>
        </w:rPr>
        <w:t>lightweight decoder design for latent diffusion models to make image and video generation faster and more memory-efficient</w:t>
      </w:r>
      <w:r>
        <w:rPr>
          <w:rFonts w:eastAsia="Times New Roman"/>
          <w:lang w:val="en-US"/>
        </w:rPr>
        <w:t xml:space="preserve"> </w:t>
      </w:r>
      <w:r>
        <w:rPr>
          <w:rFonts w:ascii="Times New Roman" w:eastAsia="Times New Roman" w:hAnsi="Times New Roman" w:cs="Times New Roman"/>
          <w:sz w:val="24"/>
          <w:szCs w:val="24"/>
          <w:lang w:val="en-US"/>
        </w:rPr>
        <w:t>r</w:t>
      </w:r>
      <w:r w:rsidRPr="00F60E5C">
        <w:rPr>
          <w:rFonts w:ascii="Times New Roman" w:eastAsia="Times New Roman" w:hAnsi="Times New Roman" w:cs="Times New Roman"/>
          <w:sz w:val="24"/>
          <w:szCs w:val="24"/>
          <w:lang w:val="en-US"/>
        </w:rPr>
        <w:t>ather than changing the UNet denoising backbone, they focus on replacing the large default VAE decoder (over 180MB) with smaller and more efficient alternatives such as TAE-192 and EfficientViT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b/>
          <w:bCs/>
          <w:sz w:val="24"/>
          <w:szCs w:val="24"/>
          <w:lang w:val="en-US"/>
        </w:rPr>
        <w:t>[6]</w:t>
      </w:r>
      <w:r w:rsidRPr="00F60E5C">
        <w:rPr>
          <w:rFonts w:ascii="Times New Roman" w:eastAsia="Times New Roman" w:hAnsi="Times New Roman" w:cs="Times New Roman"/>
          <w:sz w:val="24"/>
          <w:szCs w:val="24"/>
          <w:lang w:val="en-US"/>
        </w:rPr>
        <w:t>. For video generation, they further extend the design by adding a temporal variant (TAE-Temporal) that incorporates spatio-temporal attention to maintain consistency across frames. The models are trained using a combination of MSE, LPIPS, and adversarial loss to ensure a balance between accurate reconstruction and perceptual quality.</w:t>
      </w:r>
      <w:r w:rsidR="009934E7">
        <w:rPr>
          <w:rFonts w:ascii="Times New Roman" w:eastAsia="Times New Roman" w:hAnsi="Times New Roman" w:cs="Times New Roman"/>
          <w:sz w:val="24"/>
          <w:szCs w:val="24"/>
          <w:lang w:val="en-US"/>
        </w:rPr>
        <w:t xml:space="preserve"> </w:t>
      </w:r>
      <w:proofErr w:type="gramStart"/>
      <w:r w:rsidRPr="00F60E5C">
        <w:rPr>
          <w:rFonts w:ascii="Times New Roman" w:eastAsia="Times New Roman" w:hAnsi="Times New Roman" w:cs="Times New Roman"/>
          <w:sz w:val="24"/>
          <w:szCs w:val="24"/>
          <w:lang w:val="en-US"/>
        </w:rPr>
        <w:t>Their</w:t>
      </w:r>
      <w:proofErr w:type="gramEnd"/>
      <w:r w:rsidRPr="00F60E5C">
        <w:rPr>
          <w:rFonts w:ascii="Times New Roman" w:eastAsia="Times New Roman" w:hAnsi="Times New Roman" w:cs="Times New Roman"/>
          <w:sz w:val="24"/>
          <w:szCs w:val="24"/>
          <w:lang w:val="en-US"/>
        </w:rPr>
        <w:t xml:space="preserve"> experiments on COCO2017 and UCF-101 show clear improvements in efficiency. For example, at 256×256 resolution, TAE-192 reduces decoding time from 0.0100 seconds to about 0.0047 seconds, nearly doubling the speed, and in some settings decoding becomes up to 20× faster. Although there is a slight drop in SSIM, PSNR, and FID compared to the original VAE, the overall visual quality remains acceptable. This work demonstrates that simply compressing and redesigning the decoder can significantly improve the scalability of diffusion models without modifying the core diffusion process.</w:t>
      </w:r>
    </w:p>
    <w:p w14:paraId="5F2F065B" w14:textId="26F0341D" w:rsidR="005C5069" w:rsidRDefault="005C5069" w:rsidP="005C5069">
      <w:p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 Chen et al. </w:t>
      </w:r>
      <w:r w:rsidRPr="005C5069">
        <w:rPr>
          <w:rFonts w:ascii="Times New Roman" w:eastAsia="Times New Roman" w:hAnsi="Times New Roman" w:cs="Times New Roman"/>
          <w:sz w:val="24"/>
          <w:szCs w:val="24"/>
          <w:lang w:val="en-US"/>
        </w:rPr>
        <w:t>proposed a comprehensive framework for image generation that unifies multiple generative strategies within a single scalable architecture</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b/>
          <w:bCs/>
          <w:sz w:val="24"/>
          <w:szCs w:val="24"/>
          <w:lang w:val="en-US"/>
        </w:rPr>
        <w:t>[7]</w:t>
      </w:r>
      <w:r w:rsidRPr="005C5069">
        <w:rPr>
          <w:rFonts w:ascii="Times New Roman" w:eastAsia="Times New Roman" w:hAnsi="Times New Roman" w:cs="Times New Roman"/>
          <w:sz w:val="24"/>
          <w:szCs w:val="24"/>
          <w:lang w:val="en-US"/>
        </w:rPr>
        <w:t>. The methodology focuses on improving generation quality, diversity, and training stability by integrating diffusion-based modeling with optimized architectural components. The framework emphasizes structured feature extraction, progressive refinement, and efficient training strategies to balance realism and computational cost. By combining reconstruction objectives with perceptual</w:t>
      </w:r>
      <w:r>
        <w:rPr>
          <w:rFonts w:ascii="Times New Roman" w:eastAsia="Times New Roman" w:hAnsi="Times New Roman" w:cs="Times New Roman"/>
          <w:sz w:val="24"/>
          <w:szCs w:val="24"/>
          <w:lang w:val="en-US"/>
        </w:rPr>
        <w:t xml:space="preserve"> </w:t>
      </w:r>
      <w:r w:rsidRPr="005C5069">
        <w:rPr>
          <w:rFonts w:ascii="Times New Roman" w:eastAsia="Times New Roman" w:hAnsi="Times New Roman" w:cs="Times New Roman"/>
          <w:sz w:val="24"/>
          <w:szCs w:val="24"/>
          <w:lang w:val="en-US"/>
        </w:rPr>
        <w:lastRenderedPageBreak/>
        <w:t>mechanisms, the model aims to generate high-quality images while maintaining robustness across different datasets and resolutions.</w:t>
      </w:r>
      <w:r>
        <w:rPr>
          <w:rFonts w:ascii="Times New Roman" w:eastAsia="Times New Roman" w:hAnsi="Times New Roman" w:cs="Times New Roman"/>
          <w:sz w:val="24"/>
          <w:szCs w:val="24"/>
          <w:lang w:val="en-US"/>
        </w:rPr>
        <w:t xml:space="preserve"> </w:t>
      </w:r>
      <w:r w:rsidRPr="005C5069">
        <w:rPr>
          <w:rFonts w:ascii="Times New Roman" w:eastAsia="Times New Roman" w:hAnsi="Times New Roman" w:cs="Times New Roman"/>
          <w:sz w:val="24"/>
          <w:szCs w:val="24"/>
          <w:lang w:val="en-US"/>
        </w:rPr>
        <w:t>Experimental evaluation demonstrates strong performance in terms of image fidelity, diversity, and quantitative metrics such as FID and perceptual similarity scores. The results indicate that the proposed approach achieves competitive or improved visual realism compared to baseline generative models while maintaining stable convergence behavior. Although the framework enhances generation quality, computational complexity and resource requirements remain important considerations. Overall, the study contributes toward building more unified and scalable image generation systems while highlighting the importance of balancing efficiency and perceptual performance.</w:t>
      </w:r>
    </w:p>
    <w:p w14:paraId="11FA753A" w14:textId="12345186" w:rsidR="00876DBF" w:rsidRPr="00876DBF" w:rsidRDefault="00876DBF" w:rsidP="00876DBF">
      <w:pPr>
        <w:spacing w:before="240" w:after="240" w:line="480" w:lineRule="auto"/>
        <w:rPr>
          <w:rFonts w:ascii="Times New Roman" w:eastAsia="Times New Roman" w:hAnsi="Times New Roman" w:cs="Times New Roman"/>
          <w:sz w:val="24"/>
          <w:szCs w:val="24"/>
          <w:lang w:val="en-US"/>
        </w:rPr>
      </w:pPr>
      <w:r w:rsidRPr="00876DBF">
        <w:rPr>
          <w:rFonts w:ascii="Times New Roman" w:eastAsia="Times New Roman" w:hAnsi="Times New Roman" w:cs="Times New Roman"/>
          <w:b/>
          <w:bCs/>
          <w:sz w:val="24"/>
          <w:szCs w:val="24"/>
          <w:lang w:val="en-US"/>
        </w:rPr>
        <w:t xml:space="preserve">Wang et al. </w:t>
      </w:r>
      <w:r w:rsidRPr="00876DBF">
        <w:rPr>
          <w:rFonts w:ascii="Times New Roman" w:eastAsia="Times New Roman" w:hAnsi="Times New Roman" w:cs="Times New Roman"/>
          <w:sz w:val="24"/>
          <w:szCs w:val="24"/>
          <w:lang w:val="en-US"/>
        </w:rPr>
        <w:t xml:space="preserve">proposed </w:t>
      </w:r>
      <w:r w:rsidRPr="00876DBF">
        <w:rPr>
          <w:rFonts w:ascii="Times New Roman" w:eastAsia="Times New Roman" w:hAnsi="Times New Roman" w:cs="Times New Roman"/>
          <w:b/>
          <w:bCs/>
          <w:sz w:val="24"/>
          <w:szCs w:val="24"/>
          <w:lang w:val="en-US"/>
        </w:rPr>
        <w:t>DesignDiffusion</w:t>
      </w:r>
      <w:r w:rsidRPr="00876DBF">
        <w:rPr>
          <w:rFonts w:ascii="Times New Roman" w:eastAsia="Times New Roman" w:hAnsi="Times New Roman" w:cs="Times New Roman"/>
          <w:sz w:val="24"/>
          <w:szCs w:val="24"/>
          <w:lang w:val="en-US"/>
        </w:rPr>
        <w:t>, a one-stage diffusion framework for high-quality text-to-design image generation</w:t>
      </w:r>
      <w:r w:rsidR="003A5636">
        <w:rPr>
          <w:rFonts w:ascii="Times New Roman" w:eastAsia="Times New Roman" w:hAnsi="Times New Roman" w:cs="Times New Roman"/>
          <w:sz w:val="24"/>
          <w:szCs w:val="24"/>
          <w:lang w:val="en-US"/>
        </w:rPr>
        <w:t xml:space="preserve"> </w:t>
      </w:r>
      <w:r w:rsidR="003A5636">
        <w:rPr>
          <w:rFonts w:ascii="Times New Roman" w:eastAsia="Times New Roman" w:hAnsi="Times New Roman" w:cs="Times New Roman"/>
          <w:b/>
          <w:bCs/>
          <w:sz w:val="24"/>
          <w:szCs w:val="24"/>
          <w:lang w:val="en-US"/>
        </w:rPr>
        <w:t>[8</w:t>
      </w:r>
      <w:proofErr w:type="gramStart"/>
      <w:r w:rsidR="003A5636">
        <w:rPr>
          <w:rFonts w:ascii="Times New Roman" w:eastAsia="Times New Roman" w:hAnsi="Times New Roman" w:cs="Times New Roman"/>
          <w:b/>
          <w:bCs/>
          <w:sz w:val="24"/>
          <w:szCs w:val="24"/>
          <w:lang w:val="en-US"/>
        </w:rPr>
        <w:t>] .</w:t>
      </w:r>
      <w:proofErr w:type="gramEnd"/>
      <w:r w:rsidR="003A5636">
        <w:rPr>
          <w:rFonts w:ascii="Times New Roman" w:eastAsia="Times New Roman" w:hAnsi="Times New Roman" w:cs="Times New Roman"/>
          <w:b/>
          <w:bCs/>
          <w:sz w:val="24"/>
          <w:szCs w:val="24"/>
          <w:lang w:val="en-US"/>
        </w:rPr>
        <w:t xml:space="preserve"> </w:t>
      </w:r>
      <w:r w:rsidRPr="00876DBF">
        <w:rPr>
          <w:rFonts w:ascii="Times New Roman" w:eastAsia="Times New Roman" w:hAnsi="Times New Roman" w:cs="Times New Roman"/>
          <w:sz w:val="24"/>
          <w:szCs w:val="24"/>
          <w:lang w:val="en-US"/>
        </w:rPr>
        <w:t xml:space="preserve">The main motivation is to generate design images where visual elements and textual content are accurately rendered and stylistically consistent, overcoming limitations of two-stage methods that separately generate images and insert text. Built on </w:t>
      </w:r>
      <w:r w:rsidRPr="00876DBF">
        <w:rPr>
          <w:rFonts w:ascii="Times New Roman" w:eastAsia="Times New Roman" w:hAnsi="Times New Roman" w:cs="Times New Roman"/>
          <w:b/>
          <w:bCs/>
          <w:sz w:val="24"/>
          <w:szCs w:val="24"/>
          <w:lang w:val="en-US"/>
        </w:rPr>
        <w:t>Stable Diffusion XL (SDXL)</w:t>
      </w:r>
      <w:r w:rsidRPr="00876DBF">
        <w:rPr>
          <w:rFonts w:ascii="Times New Roman" w:eastAsia="Times New Roman" w:hAnsi="Times New Roman" w:cs="Times New Roman"/>
          <w:sz w:val="24"/>
          <w:szCs w:val="24"/>
          <w:lang w:val="en-US"/>
        </w:rPr>
        <w:t>, the model introduces three key improvements: (1) character-level prompt enhancement for precise text rendering, (2) character localization loss to guide cross-attention toward correct text regions, and (3) Self-Play Direct Preference Optimization (SP-DPO) fine-tuning to improve text fidelity. The model was trained on a self-collected dataset of 1 million high-quality design images, with 5,000 samples used for testing.</w:t>
      </w:r>
      <w:r w:rsidR="003A5636">
        <w:rPr>
          <w:rFonts w:ascii="Times New Roman" w:eastAsia="Times New Roman" w:hAnsi="Times New Roman" w:cs="Times New Roman"/>
          <w:sz w:val="24"/>
          <w:szCs w:val="24"/>
          <w:lang w:val="en-US"/>
        </w:rPr>
        <w:t xml:space="preserve"> </w:t>
      </w:r>
      <w:proofErr w:type="gramStart"/>
      <w:r w:rsidRPr="00876DBF">
        <w:rPr>
          <w:rFonts w:ascii="Times New Roman" w:eastAsia="Times New Roman" w:hAnsi="Times New Roman" w:cs="Times New Roman"/>
          <w:sz w:val="24"/>
          <w:szCs w:val="24"/>
          <w:lang w:val="en-US"/>
        </w:rPr>
        <w:t>For</w:t>
      </w:r>
      <w:proofErr w:type="gramEnd"/>
      <w:r w:rsidRPr="00876DBF">
        <w:rPr>
          <w:rFonts w:ascii="Times New Roman" w:eastAsia="Times New Roman" w:hAnsi="Times New Roman" w:cs="Times New Roman"/>
          <w:sz w:val="24"/>
          <w:szCs w:val="24"/>
          <w:lang w:val="en-US"/>
        </w:rPr>
        <w:t xml:space="preserve"> evaluation, the authors used </w:t>
      </w:r>
      <w:r w:rsidRPr="00876DBF">
        <w:rPr>
          <w:rFonts w:ascii="Times New Roman" w:eastAsia="Times New Roman" w:hAnsi="Times New Roman" w:cs="Times New Roman"/>
          <w:b/>
          <w:bCs/>
          <w:sz w:val="24"/>
          <w:szCs w:val="24"/>
          <w:lang w:val="en-US"/>
        </w:rPr>
        <w:t>FID</w:t>
      </w:r>
      <w:r w:rsidRPr="00876DBF">
        <w:rPr>
          <w:rFonts w:ascii="Times New Roman" w:eastAsia="Times New Roman" w:hAnsi="Times New Roman" w:cs="Times New Roman"/>
          <w:sz w:val="24"/>
          <w:szCs w:val="24"/>
          <w:lang w:val="en-US"/>
        </w:rPr>
        <w:t xml:space="preserve"> to measure image quality and OCR-based metrics (precision, recall, F-score, and text accuracy) to assess text correctness. As reported in Table 1 (page 7), DesignDiffusion achieved a superior </w:t>
      </w:r>
      <w:r w:rsidRPr="00876DBF">
        <w:rPr>
          <w:rFonts w:ascii="Times New Roman" w:eastAsia="Times New Roman" w:hAnsi="Times New Roman" w:cs="Times New Roman"/>
          <w:b/>
          <w:bCs/>
          <w:sz w:val="24"/>
          <w:szCs w:val="24"/>
          <w:lang w:val="en-US"/>
        </w:rPr>
        <w:t>FID of 19.87</w:t>
      </w:r>
      <w:r w:rsidRPr="00876DBF">
        <w:rPr>
          <w:rFonts w:ascii="Times New Roman" w:eastAsia="Times New Roman" w:hAnsi="Times New Roman" w:cs="Times New Roman"/>
          <w:sz w:val="24"/>
          <w:szCs w:val="24"/>
          <w:lang w:val="en-US"/>
        </w:rPr>
        <w:t xml:space="preserve">, significantly outperforming SDXL (45.10) and other state-of-the-art models. It also achieved the best text performance with </w:t>
      </w:r>
      <w:r w:rsidRPr="00876DBF">
        <w:rPr>
          <w:rFonts w:ascii="Times New Roman" w:eastAsia="Times New Roman" w:hAnsi="Times New Roman" w:cs="Times New Roman"/>
          <w:b/>
          <w:bCs/>
          <w:sz w:val="24"/>
          <w:szCs w:val="24"/>
          <w:lang w:val="en-US"/>
        </w:rPr>
        <w:t>0.888 precision, 0.837 recall, 0.862 F-score, and 0.631 text accuracy</w:t>
      </w:r>
      <w:r w:rsidRPr="00876DBF">
        <w:rPr>
          <w:rFonts w:ascii="Times New Roman" w:eastAsia="Times New Roman" w:hAnsi="Times New Roman" w:cs="Times New Roman"/>
          <w:sz w:val="24"/>
          <w:szCs w:val="24"/>
          <w:lang w:val="en-US"/>
        </w:rPr>
        <w:t xml:space="preserve">. Both </w:t>
      </w:r>
      <w:r w:rsidRPr="00876DBF">
        <w:rPr>
          <w:rFonts w:ascii="Times New Roman" w:eastAsia="Times New Roman" w:hAnsi="Times New Roman" w:cs="Times New Roman"/>
          <w:sz w:val="24"/>
          <w:szCs w:val="24"/>
          <w:lang w:val="en-US"/>
        </w:rPr>
        <w:lastRenderedPageBreak/>
        <w:t>quantitative results and user studies confirm that DesignDiffusion delivers state-of-the-art overall performance in generating aesthetically pleasing and text-accurate design images.</w:t>
      </w:r>
    </w:p>
    <w:p w14:paraId="4BAFCA9B" w14:textId="77777777" w:rsidR="00F863A4" w:rsidRDefault="00F863A4">
      <w:pPr>
        <w:spacing w:before="240" w:after="240" w:line="480" w:lineRule="auto"/>
        <w:rPr>
          <w:rFonts w:ascii="Times New Roman" w:eastAsia="Times New Roman" w:hAnsi="Times New Roman" w:cs="Times New Roman"/>
          <w:sz w:val="24"/>
          <w:szCs w:val="24"/>
        </w:rPr>
      </w:pPr>
    </w:p>
    <w:p w14:paraId="31FC70AE" w14:textId="2B813B15" w:rsidR="00F863A4" w:rsidRDefault="00000000" w:rsidP="008B7C08">
      <w:pPr>
        <w:pStyle w:val="Heading2"/>
        <w:keepNext w:val="0"/>
        <w:keepLines w:val="0"/>
        <w:spacing w:after="80" w:line="480" w:lineRule="auto"/>
        <w:jc w:val="center"/>
        <w:rPr>
          <w:rFonts w:ascii="Times New Roman" w:eastAsia="Times New Roman" w:hAnsi="Times New Roman" w:cs="Times New Roman"/>
          <w:b/>
          <w:bCs/>
          <w:sz w:val="34"/>
          <w:szCs w:val="34"/>
        </w:rPr>
      </w:pPr>
      <w:bookmarkStart w:id="0" w:name="_ph7k952y2rrb" w:colFirst="0" w:colLast="0"/>
      <w:bookmarkEnd w:id="0"/>
      <w:r>
        <w:rPr>
          <w:rFonts w:ascii="Times New Roman" w:eastAsia="Times New Roman" w:hAnsi="Times New Roman" w:cs="Times New Roman"/>
          <w:b/>
          <w:bCs/>
          <w:sz w:val="34"/>
          <w:szCs w:val="34"/>
        </w:rPr>
        <w:t>References</w:t>
      </w:r>
    </w:p>
    <w:p w14:paraId="3AB33329" w14:textId="77777777" w:rsidR="008B7C08" w:rsidRDefault="008B7C08">
      <w:pPr>
        <w:spacing w:line="480" w:lineRule="auto"/>
        <w:rPr>
          <w:rFonts w:ascii="Times New Roman" w:eastAsia="Times New Roman" w:hAnsi="Times New Roman" w:cs="Times New Roman"/>
          <w:sz w:val="24"/>
          <w:szCs w:val="24"/>
        </w:rPr>
      </w:pPr>
    </w:p>
    <w:p w14:paraId="07BE7D58" w14:textId="77777777" w:rsidR="008B7C08" w:rsidRDefault="008B7C08" w:rsidP="008B7C08">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A. Lugmayr, M. Danelljan, A. Romero, F. Yu, R. Timofte, and L. Van Gool, “RePaint: Inpainting using denoising diffusion probabilistic models,” in Proc. IEEE/CVF Conf. Computer Vision and Pattern Recognition (CVPR), 2022. </w:t>
      </w:r>
      <w:hyperlink r:id="rId6">
        <w:r>
          <w:rPr>
            <w:rFonts w:ascii="Times New Roman" w:eastAsia="Times New Roman" w:hAnsi="Times New Roman" w:cs="Times New Roman"/>
            <w:color w:val="1155CC"/>
            <w:sz w:val="24"/>
            <w:szCs w:val="24"/>
            <w:u w:val="single"/>
          </w:rPr>
          <w:t>https://arxiv.org/abs/2201.09865</w:t>
        </w:r>
      </w:hyperlink>
    </w:p>
    <w:p w14:paraId="31DB5D74" w14:textId="77777777" w:rsidR="008B7C08" w:rsidRDefault="008B7C08" w:rsidP="008B7C08">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C. Corneanu, R. Gadde, and A. M. Martinez, “LatentPaint: Image inpainting in latent space with diffusion models,” in Proc. IEEE/CVF Winter Conf. Applications of Computer Vision (WACV), 2024.  </w:t>
      </w:r>
      <w:hyperlink r:id="rId7">
        <w:r>
          <w:rPr>
            <w:rFonts w:ascii="Times New Roman" w:eastAsia="Times New Roman" w:hAnsi="Times New Roman" w:cs="Times New Roman"/>
            <w:color w:val="1155CC"/>
            <w:sz w:val="24"/>
            <w:szCs w:val="24"/>
            <w:u w:val="single"/>
          </w:rPr>
          <w:t>https://openaccess.thecvf.com/content/WACV2024/papers/Corneanu_LatentPaint_Image_Inpainting_in_Latent_Space_With_Diffusion_Models_WACV_2024_paper.pdf</w:t>
        </w:r>
      </w:hyperlink>
    </w:p>
    <w:p w14:paraId="479D05BB" w14:textId="77777777" w:rsidR="008B7C08" w:rsidRDefault="008B7C08" w:rsidP="008B7C08">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L. Zhang, X. Du, Y. Wang, Y. Zheng, and C. Jin, “Minutes to seconds: Speeded-up DDPM-based image inpainting with coarse-to-fine sampling,” arXiv, 2024. </w:t>
      </w:r>
      <w:hyperlink r:id="rId8">
        <w:r>
          <w:rPr>
            <w:rFonts w:ascii="Times New Roman" w:eastAsia="Times New Roman" w:hAnsi="Times New Roman" w:cs="Times New Roman"/>
            <w:color w:val="1155CC"/>
            <w:sz w:val="24"/>
            <w:szCs w:val="24"/>
            <w:u w:val="single"/>
          </w:rPr>
          <w:t>https://arxiv.org/abs/2407.05875</w:t>
        </w:r>
      </w:hyperlink>
    </w:p>
    <w:p w14:paraId="6DF1A18F" w14:textId="77777777" w:rsidR="008B7C08" w:rsidRDefault="008B7C08" w:rsidP="008B7C08">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Z. Sargsyan et al., “MI-GAN: A simple baseline for image inpainting on mobile devices,” in Proc. IEEE/CVF Int. Conf. Computer Vision (ICCV), 2023. </w:t>
      </w:r>
      <w:hyperlink r:id="rId9">
        <w:r>
          <w:rPr>
            <w:rFonts w:ascii="Times New Roman" w:eastAsia="Times New Roman" w:hAnsi="Times New Roman" w:cs="Times New Roman"/>
            <w:color w:val="1155CC"/>
            <w:sz w:val="24"/>
            <w:szCs w:val="24"/>
            <w:u w:val="single"/>
          </w:rPr>
          <w:t>https://openaccess.thecvf.com/content/ICCV2023/papers/Sargsyan_MI-GAN_A_Simple_Baseline_for_Image_Inpainting_on_Mobile_Devices_ICCV_2023_paper.pdf</w:t>
        </w:r>
      </w:hyperlink>
    </w:p>
    <w:p w14:paraId="69CFE7DA" w14:textId="77777777" w:rsidR="008B7C08" w:rsidRDefault="008B7C08" w:rsidP="008B7C08">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 Y. Zhao, Y. Xu, Z. Xiao, H. Jia, and T. Hou, “Instant text-to-image generation on mobile devices,” in Proc. European Conf. Computer Vision (ECCV), 2024. </w:t>
      </w:r>
      <w:hyperlink r:id="rId10">
        <w:r>
          <w:rPr>
            <w:rFonts w:ascii="Times New Roman" w:eastAsia="Times New Roman" w:hAnsi="Times New Roman" w:cs="Times New Roman"/>
            <w:color w:val="1155CC"/>
            <w:sz w:val="24"/>
            <w:szCs w:val="24"/>
            <w:u w:val="single"/>
          </w:rPr>
          <w:t>https://www.ecva.net/papers/eccv_2024/papers_ECCV/papers/07923.pdf</w:t>
        </w:r>
      </w:hyperlink>
    </w:p>
    <w:p w14:paraId="67FE8E9A" w14:textId="77777777" w:rsidR="008B7C08" w:rsidRDefault="008B7C08" w:rsidP="008B7C08">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sidRPr="00F60E5C">
        <w:rPr>
          <w:rFonts w:ascii="Times New Roman" w:eastAsia="Times New Roman" w:hAnsi="Times New Roman" w:cs="Times New Roman"/>
          <w:sz w:val="24"/>
          <w:szCs w:val="24"/>
        </w:rPr>
        <w:t xml:space="preserve">Buzovkin, A., &amp; Shilov, E. (2025). </w:t>
      </w:r>
      <w:r w:rsidRPr="00F60E5C">
        <w:rPr>
          <w:rFonts w:ascii="Times New Roman" w:eastAsia="Times New Roman" w:hAnsi="Times New Roman" w:cs="Times New Roman"/>
          <w:i/>
          <w:iCs/>
          <w:sz w:val="24"/>
          <w:szCs w:val="24"/>
        </w:rPr>
        <w:t>Toward lightweight and fast decoders for diffusion models in image and video generation</w:t>
      </w:r>
      <w:r w:rsidRPr="00F60E5C">
        <w:rPr>
          <w:rFonts w:ascii="Times New Roman" w:eastAsia="Times New Roman" w:hAnsi="Times New Roman" w:cs="Times New Roman"/>
          <w:sz w:val="24"/>
          <w:szCs w:val="24"/>
        </w:rPr>
        <w:t>. arXiv.</w:t>
      </w:r>
    </w:p>
    <w:p w14:paraId="7ED792DF" w14:textId="797598B6" w:rsidR="008B7C08" w:rsidRDefault="008B7C08" w:rsidP="008B7C08">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11" w:tgtFrame="_new" w:history="1">
        <w:r w:rsidRPr="00F60E5C">
          <w:rPr>
            <w:rStyle w:val="Hyperlink"/>
            <w:rFonts w:ascii="Times New Roman" w:eastAsia="Times New Roman" w:hAnsi="Times New Roman" w:cs="Times New Roman"/>
            <w:sz w:val="24"/>
            <w:szCs w:val="24"/>
          </w:rPr>
          <w:t>https://arxiv.org/abs/2503.04871</w:t>
        </w:r>
      </w:hyperlink>
    </w:p>
    <w:p w14:paraId="0A3D7B05" w14:textId="77777777" w:rsidR="008B7C08" w:rsidRDefault="008B7C08" w:rsidP="008B7C08">
      <w:pPr>
        <w:spacing w:line="480" w:lineRule="auto"/>
        <w:ind w:left="720" w:hanging="720"/>
        <w:rPr>
          <w:rFonts w:ascii="Times New Roman" w:eastAsia="Times New Roman" w:hAnsi="Times New Roman" w:cs="Times New Roman"/>
          <w:sz w:val="24"/>
          <w:szCs w:val="24"/>
        </w:rPr>
      </w:pPr>
    </w:p>
    <w:p w14:paraId="2BB1A62E" w14:textId="77777777" w:rsidR="008B7C08" w:rsidRDefault="008B7C08" w:rsidP="008B7C08">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sidRPr="005C5069">
        <w:rPr>
          <w:rFonts w:ascii="Times New Roman" w:eastAsia="Times New Roman" w:hAnsi="Times New Roman" w:cs="Times New Roman"/>
          <w:sz w:val="24"/>
          <w:szCs w:val="24"/>
        </w:rPr>
        <w:t xml:space="preserve">Chen, H., Xiang, Q., Hu, J., Ye, M., Yu, C., Cheng, H., &amp; Zhang, L. (2024). </w:t>
      </w:r>
      <w:r w:rsidRPr="005C5069">
        <w:rPr>
          <w:rFonts w:ascii="Times New Roman" w:eastAsia="Times New Roman" w:hAnsi="Times New Roman" w:cs="Times New Roman"/>
          <w:i/>
          <w:iCs/>
          <w:sz w:val="24"/>
          <w:szCs w:val="24"/>
        </w:rPr>
        <w:t>Comprehensive exploration of diffusion models in image generation: A survey</w:t>
      </w:r>
      <w:r w:rsidRPr="005C5069">
        <w:rPr>
          <w:rFonts w:ascii="Times New Roman" w:eastAsia="Times New Roman" w:hAnsi="Times New Roman" w:cs="Times New Roman"/>
          <w:sz w:val="24"/>
          <w:szCs w:val="24"/>
        </w:rPr>
        <w:t>. Springer Nature.</w:t>
      </w:r>
    </w:p>
    <w:p w14:paraId="7F95F2B7" w14:textId="7BF5C9EA" w:rsidR="008B7C08" w:rsidRDefault="008B7C08" w:rsidP="008B7C08">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12" w:history="1">
        <w:r w:rsidRPr="00055A99">
          <w:rPr>
            <w:rStyle w:val="Hyperlink"/>
            <w:rFonts w:ascii="Times New Roman" w:eastAsia="Times New Roman" w:hAnsi="Times New Roman" w:cs="Times New Roman"/>
            <w:sz w:val="24"/>
            <w:szCs w:val="24"/>
          </w:rPr>
          <w:t>https://link.springer.com/article/10.1007/s10462-025-11110-3</w:t>
        </w:r>
      </w:hyperlink>
      <w:r>
        <w:rPr>
          <w:rFonts w:ascii="Times New Roman" w:eastAsia="Times New Roman" w:hAnsi="Times New Roman" w:cs="Times New Roman"/>
          <w:sz w:val="24"/>
          <w:szCs w:val="24"/>
        </w:rPr>
        <w:t xml:space="preserve"> </w:t>
      </w:r>
    </w:p>
    <w:p w14:paraId="5940EC54" w14:textId="77777777" w:rsidR="008B7C08" w:rsidRDefault="008B7C08" w:rsidP="008B7C08">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sidRPr="00876DBF">
        <w:rPr>
          <w:rFonts w:ascii="Times New Roman" w:eastAsia="Times New Roman" w:hAnsi="Times New Roman" w:cs="Times New Roman"/>
          <w:sz w:val="24"/>
          <w:szCs w:val="24"/>
        </w:rPr>
        <w:t xml:space="preserve">Wang, Z., Bao, J., Gu, S., Chen, D., Zhou, W., &amp; Li, H. (2025). </w:t>
      </w:r>
      <w:r w:rsidRPr="00876DBF">
        <w:rPr>
          <w:rFonts w:ascii="Times New Roman" w:eastAsia="Times New Roman" w:hAnsi="Times New Roman" w:cs="Times New Roman"/>
          <w:i/>
          <w:iCs/>
          <w:sz w:val="24"/>
          <w:szCs w:val="24"/>
        </w:rPr>
        <w:t>DesignDiffusion: High-quality text-to-design image generation with diffusion models</w:t>
      </w:r>
      <w:r w:rsidRPr="00876DBF">
        <w:rPr>
          <w:rFonts w:ascii="Times New Roman" w:eastAsia="Times New Roman" w:hAnsi="Times New Roman" w:cs="Times New Roman"/>
          <w:sz w:val="24"/>
          <w:szCs w:val="24"/>
        </w:rPr>
        <w:t xml:space="preserve">. In </w:t>
      </w:r>
      <w:r w:rsidRPr="00876DBF">
        <w:rPr>
          <w:rFonts w:ascii="Times New Roman" w:eastAsia="Times New Roman" w:hAnsi="Times New Roman" w:cs="Times New Roman"/>
          <w:b/>
          <w:bCs/>
          <w:sz w:val="24"/>
          <w:szCs w:val="24"/>
        </w:rPr>
        <w:t>Proceedings of the IEEE/CVF Conference on Computer Vision and Pattern Recognition (CVPR 2025)</w:t>
      </w:r>
      <w:r w:rsidRPr="00876DBF">
        <w:rPr>
          <w:rFonts w:ascii="Times New Roman" w:eastAsia="Times New Roman" w:hAnsi="Times New Roman" w:cs="Times New Roman"/>
          <w:sz w:val="24"/>
          <w:szCs w:val="24"/>
        </w:rPr>
        <w:t xml:space="preserve"> (pp. 20906–20915). IEEE.</w:t>
      </w:r>
    </w:p>
    <w:p w14:paraId="0CE9ACE3" w14:textId="77777777" w:rsidR="008B7C08" w:rsidRDefault="008B7C08" w:rsidP="008B7C08">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13" w:history="1">
        <w:r w:rsidRPr="00055A99">
          <w:rPr>
            <w:rStyle w:val="Hyperlink"/>
            <w:rFonts w:ascii="Times New Roman" w:eastAsia="Times New Roman" w:hAnsi="Times New Roman" w:cs="Times New Roman"/>
            <w:sz w:val="24"/>
            <w:szCs w:val="24"/>
          </w:rPr>
          <w:t>https://openaccess.thecvf.com/content/CVPR2025/html/Wang_DesignDiffusion_High-Quality_Text-to-Design_Image_Generation_with_Diffusion_Models_CVPR_2025_paper.html</w:t>
        </w:r>
      </w:hyperlink>
    </w:p>
    <w:p w14:paraId="0BC5D4EF" w14:textId="7B9A4997" w:rsidR="008B7C08" w:rsidRDefault="008B7C08" w:rsidP="008B7C08">
      <w:pPr>
        <w:spacing w:line="480" w:lineRule="auto"/>
        <w:ind w:left="720" w:hanging="720"/>
        <w:rPr>
          <w:rFonts w:ascii="Times New Roman" w:eastAsia="Times New Roman" w:hAnsi="Times New Roman" w:cs="Times New Roman"/>
          <w:sz w:val="24"/>
          <w:szCs w:val="24"/>
        </w:rPr>
      </w:pPr>
    </w:p>
    <w:p w14:paraId="5418A398" w14:textId="20669154" w:rsidR="008B7C08" w:rsidRDefault="008B7C08" w:rsidP="008B7C08">
      <w:pPr>
        <w:spacing w:line="480" w:lineRule="auto"/>
        <w:ind w:left="720" w:hanging="720"/>
        <w:rPr>
          <w:rFonts w:ascii="Times New Roman" w:eastAsia="Times New Roman" w:hAnsi="Times New Roman" w:cs="Times New Roman"/>
          <w:sz w:val="24"/>
          <w:szCs w:val="24"/>
        </w:rPr>
      </w:pPr>
    </w:p>
    <w:p w14:paraId="77047B09" w14:textId="77777777" w:rsidR="00876DBF" w:rsidRDefault="00876DBF">
      <w:pPr>
        <w:spacing w:line="480" w:lineRule="auto"/>
        <w:rPr>
          <w:rFonts w:ascii="Times New Roman" w:eastAsia="Times New Roman" w:hAnsi="Times New Roman" w:cs="Times New Roman"/>
          <w:sz w:val="24"/>
          <w:szCs w:val="24"/>
        </w:rPr>
      </w:pPr>
    </w:p>
    <w:p w14:paraId="7C3D0C4E" w14:textId="77777777" w:rsidR="005C5069" w:rsidRDefault="005C5069">
      <w:pPr>
        <w:spacing w:line="480" w:lineRule="auto"/>
        <w:rPr>
          <w:rFonts w:ascii="Times New Roman" w:eastAsia="Times New Roman" w:hAnsi="Times New Roman" w:cs="Times New Roman"/>
          <w:sz w:val="24"/>
          <w:szCs w:val="24"/>
        </w:rPr>
      </w:pPr>
    </w:p>
    <w:p w14:paraId="1DA34924" w14:textId="77777777" w:rsidR="00F863A4" w:rsidRDefault="00F863A4">
      <w:pPr>
        <w:rPr>
          <w:rFonts w:ascii="Times New Roman" w:eastAsia="Times New Roman" w:hAnsi="Times New Roman" w:cs="Times New Roman"/>
          <w:sz w:val="24"/>
          <w:szCs w:val="24"/>
        </w:rPr>
      </w:pPr>
    </w:p>
    <w:p w14:paraId="1C399B15" w14:textId="77777777" w:rsidR="00F863A4" w:rsidRDefault="00F863A4">
      <w:pPr>
        <w:rPr>
          <w:rFonts w:ascii="Times New Roman" w:eastAsia="Times New Roman" w:hAnsi="Times New Roman" w:cs="Times New Roman"/>
          <w:sz w:val="24"/>
          <w:szCs w:val="24"/>
        </w:rPr>
      </w:pPr>
    </w:p>
    <w:p w14:paraId="68FF4686" w14:textId="77777777" w:rsidR="00F863A4" w:rsidRDefault="00F863A4">
      <w:pPr>
        <w:rPr>
          <w:rFonts w:ascii="Times New Roman" w:eastAsia="Times New Roman" w:hAnsi="Times New Roman" w:cs="Times New Roman"/>
          <w:sz w:val="24"/>
          <w:szCs w:val="24"/>
        </w:rPr>
      </w:pPr>
    </w:p>
    <w:p w14:paraId="244170FA" w14:textId="77777777" w:rsidR="00F863A4" w:rsidRDefault="00F863A4">
      <w:pPr>
        <w:widowControl w:val="0"/>
        <w:pBdr>
          <w:top w:val="nil"/>
          <w:left w:val="nil"/>
          <w:bottom w:val="nil"/>
          <w:right w:val="nil"/>
          <w:between w:val="nil"/>
        </w:pBdr>
      </w:pPr>
    </w:p>
    <w:p w14:paraId="7D97E8AE" w14:textId="77777777" w:rsidR="00F863A4" w:rsidRDefault="00F863A4">
      <w:pPr>
        <w:widowControl w:val="0"/>
        <w:pBdr>
          <w:top w:val="nil"/>
          <w:left w:val="nil"/>
          <w:bottom w:val="nil"/>
          <w:right w:val="nil"/>
          <w:between w:val="nil"/>
        </w:pBdr>
      </w:pPr>
    </w:p>
    <w:sectPr w:rsidR="00F863A4">
      <w:headerReference w:type="default" r:id="rId14"/>
      <w:foot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60C3F" w14:textId="77777777" w:rsidR="00BE36A1" w:rsidRDefault="00BE36A1">
      <w:pPr>
        <w:spacing w:line="240" w:lineRule="auto"/>
      </w:pPr>
      <w:r>
        <w:separator/>
      </w:r>
    </w:p>
  </w:endnote>
  <w:endnote w:type="continuationSeparator" w:id="0">
    <w:p w14:paraId="22B63A54" w14:textId="77777777" w:rsidR="00BE36A1" w:rsidRDefault="00BE36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D8373D-0D6C-4958-ACDC-B59FAFDF2AC8}"/>
  </w:font>
  <w:font w:name="Cambria">
    <w:panose1 w:val="02040503050406030204"/>
    <w:charset w:val="00"/>
    <w:family w:val="roman"/>
    <w:pitch w:val="variable"/>
    <w:sig w:usb0="E00006FF" w:usb1="420024FF" w:usb2="02000000" w:usb3="00000000" w:csb0="0000019F" w:csb1="00000000"/>
    <w:embedRegular r:id="rId2" w:fontKey="{A64550C4-0849-4A8B-909F-F5A65DF495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C5CD" w14:textId="77777777" w:rsidR="00F863A4" w:rsidRDefault="00F863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0E0DF" w14:textId="77777777" w:rsidR="00BE36A1" w:rsidRDefault="00BE36A1">
      <w:pPr>
        <w:spacing w:line="240" w:lineRule="auto"/>
      </w:pPr>
      <w:r>
        <w:separator/>
      </w:r>
    </w:p>
  </w:footnote>
  <w:footnote w:type="continuationSeparator" w:id="0">
    <w:p w14:paraId="64F46E0A" w14:textId="77777777" w:rsidR="00BE36A1" w:rsidRDefault="00BE36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84C9" w14:textId="77777777" w:rsidR="00F863A4" w:rsidRDefault="00F863A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3A4"/>
    <w:rsid w:val="003A5636"/>
    <w:rsid w:val="005C5069"/>
    <w:rsid w:val="007D0AA9"/>
    <w:rsid w:val="00876DBF"/>
    <w:rsid w:val="008B7C08"/>
    <w:rsid w:val="009934E7"/>
    <w:rsid w:val="00BE36A1"/>
    <w:rsid w:val="00BF418D"/>
    <w:rsid w:val="00F60E5C"/>
    <w:rsid w:val="00F86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E092D"/>
  <w15:docId w15:val="{C6BF2341-1295-4745-957D-BEE1322E7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F60E5C"/>
    <w:rPr>
      <w:rFonts w:ascii="Times New Roman" w:hAnsi="Times New Roman" w:cs="Times New Roman"/>
      <w:sz w:val="24"/>
      <w:szCs w:val="24"/>
    </w:rPr>
  </w:style>
  <w:style w:type="character" w:styleId="Hyperlink">
    <w:name w:val="Hyperlink"/>
    <w:basedOn w:val="DefaultParagraphFont"/>
    <w:uiPriority w:val="99"/>
    <w:unhideWhenUsed/>
    <w:rsid w:val="00F60E5C"/>
    <w:rPr>
      <w:color w:val="0000FF" w:themeColor="hyperlink"/>
      <w:u w:val="single"/>
    </w:rPr>
  </w:style>
  <w:style w:type="character" w:styleId="UnresolvedMention">
    <w:name w:val="Unresolved Mention"/>
    <w:basedOn w:val="DefaultParagraphFont"/>
    <w:uiPriority w:val="99"/>
    <w:semiHidden/>
    <w:unhideWhenUsed/>
    <w:rsid w:val="00F60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407.05875" TargetMode="External"/><Relationship Id="rId13" Type="http://schemas.openxmlformats.org/officeDocument/2006/relationships/hyperlink" Target="https://openaccess.thecvf.com/content/CVPR2025/html/Wang_DesignDiffusion_High-Quality_Text-to-Design_Image_Generation_with_Diffusion_Models_CVPR_2025_paper.html" TargetMode="External"/><Relationship Id="rId3" Type="http://schemas.openxmlformats.org/officeDocument/2006/relationships/webSettings" Target="webSettings.xml"/><Relationship Id="rId7" Type="http://schemas.openxmlformats.org/officeDocument/2006/relationships/hyperlink" Target="https://openaccess.thecvf.com/content/WACV2024/papers/Corneanu_LatentPaint_Image_Inpainting_in_Latent_Space_With_Diffusion_Models_WACV_2024_paper.pdf" TargetMode="External"/><Relationship Id="rId12" Type="http://schemas.openxmlformats.org/officeDocument/2006/relationships/hyperlink" Target="https://link.springer.com/article/10.1007/s10462-025-11110-3"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arxiv.org/abs/2201.09865" TargetMode="External"/><Relationship Id="rId11" Type="http://schemas.openxmlformats.org/officeDocument/2006/relationships/hyperlink" Target="https://arxiv.org/abs/2503.04871"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www.ecva.net/papers/eccv_2024/papers_ECCV/papers/07923.pdf" TargetMode="External"/><Relationship Id="rId4" Type="http://schemas.openxmlformats.org/officeDocument/2006/relationships/footnotes" Target="footnotes.xml"/><Relationship Id="rId9" Type="http://schemas.openxmlformats.org/officeDocument/2006/relationships/hyperlink" Target="https://openaccess.thecvf.com/content/ICCV2023/papers/Sargsyan_MI-GAN_A_Simple_Baseline_for_Image_Inpainting_on_Mobile_Devices_ICCV_2023_paper.pdf"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2345</Words>
  <Characters>13369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kazitazrianmon@gmail.com</cp:lastModifiedBy>
  <cp:revision>2</cp:revision>
  <dcterms:created xsi:type="dcterms:W3CDTF">2026-02-25T00:34:00Z</dcterms:created>
  <dcterms:modified xsi:type="dcterms:W3CDTF">2026-02-25T00:34:00Z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e916eb3c-bf6f-4c7f-9695-93ac5100cd0f</vt:lpwstr>
  </property>
</Properties>
</file>