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ft4pnzlwqu5s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Arquitetura de Dados (Pizzaria SaaS)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pm4q1lj7ny3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Visão Geral</w:t>
      </w:r>
    </w:p>
    <w:p w:rsidR="00000000" w:rsidDel="00000000" w:rsidP="00000000" w:rsidRDefault="00000000" w:rsidRPr="00000000" w14:paraId="00000003">
      <w:pPr>
        <w:spacing w:after="240" w:lineRule="auto"/>
        <w:rPr/>
      </w:pPr>
      <w:r w:rsidDel="00000000" w:rsidR="00000000" w:rsidRPr="00000000">
        <w:rPr>
          <w:rtl w:val="0"/>
        </w:rPr>
        <w:t xml:space="preserve">Este banco de dados foi projetado para suportar uma plataforma </w:t>
      </w:r>
      <w:r w:rsidDel="00000000" w:rsidR="00000000" w:rsidRPr="00000000">
        <w:rPr>
          <w:b w:val="1"/>
          <w:bCs w:val="1"/>
          <w:rtl w:val="0"/>
        </w:rPr>
        <w:t xml:space="preserve">SaaS Multi-tenant</w:t>
      </w:r>
      <w:r w:rsidDel="00000000" w:rsidR="00000000" w:rsidRPr="00000000">
        <w:rPr>
          <w:rtl w:val="0"/>
        </w:rPr>
        <w:t xml:space="preserve"> de alta performance. O objetivo é permitir que múltiplas pizzarias operem na mesma infraestrutura, garantindo isolamento total de dados e prontidão para escalabilidade horizontal.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odtqhaylhe7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Escolhas Tecnológicas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Engine:</w:t>
      </w:r>
      <w:r w:rsidDel="00000000" w:rsidR="00000000" w:rsidRPr="00000000">
        <w:rPr>
          <w:rtl w:val="0"/>
        </w:rPr>
        <w:t xml:space="preserve"> PostgreSQL 16+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Identificadores:</w:t>
      </w:r>
      <w:r w:rsidDel="00000000" w:rsidR="00000000" w:rsidRPr="00000000">
        <w:rPr>
          <w:rtl w:val="0"/>
        </w:rPr>
        <w:t xml:space="preserve"> UUID v4 (para evitar colisões em sistemas distribuídos e ocultar volume de dados).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Segurança:</w:t>
      </w:r>
      <w:r w:rsidDel="00000000" w:rsidR="00000000" w:rsidRPr="00000000">
        <w:rPr>
          <w:rtl w:val="0"/>
        </w:rPr>
        <w:t xml:space="preserve"> Row Level Security (RLS) para isolamento lógico de tenants.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Extensões: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pgcrypto</w:t>
      </w:r>
      <w:r w:rsidDel="00000000" w:rsidR="00000000" w:rsidRPr="00000000">
        <w:rPr>
          <w:rtl w:val="0"/>
        </w:rPr>
        <w:t xml:space="preserve"> para geração de IDs e criptografia futura.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l1ltjc8v4ye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Diagrama de Entidades (ERD)</w:t>
      </w:r>
    </w:p>
    <w:p w:rsidR="00000000" w:rsidDel="00000000" w:rsidP="00000000" w:rsidRDefault="00000000" w:rsidRPr="00000000" w14:paraId="0000000B">
      <w:pPr>
        <w:spacing w:after="240" w:lineRule="auto"/>
        <w:rPr/>
      </w:pPr>
      <w:r w:rsidDel="00000000" w:rsidR="00000000" w:rsidRPr="00000000">
        <w:rPr>
          <w:rtl w:val="0"/>
        </w:rPr>
        <w:t xml:space="preserve">O modelo segue uma estrutura relacional normalizada com pontos estratégicos de denormalização (JSONB) para garantir a imutabilidade histórica.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t5ol3aiwk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Dicionário de Dados Principal</w:t>
      </w:r>
    </w:p>
    <w:tbl>
      <w:tblPr>
        <w:tblStyle w:val="Table1"/>
        <w:tblW w:w="9025.511811023624" w:type="dxa"/>
        <w:jc w:val="left"/>
        <w:tblLayout w:type="fixed"/>
        <w:tblLook w:val="0600"/>
      </w:tblPr>
      <w:tblGrid>
        <w:gridCol w:w="1537.054970932372"/>
        <w:gridCol w:w="2296.2101699904338"/>
        <w:gridCol w:w="5192.246670100818"/>
        <w:tblGridChange w:id="0">
          <w:tblGrid>
            <w:gridCol w:w="1537.054970932372"/>
            <w:gridCol w:w="2296.2101699904338"/>
            <w:gridCol w:w="5192.246670100818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Tabela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Detalhe Relevante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tenants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Cadastro das pizzarias clientes.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O campo </w:t>
            </w:r>
            <w:r w:rsidDel="00000000" w:rsidR="00000000" w:rsidRPr="00000000">
              <w:rPr>
                <w:color w:val="188038"/>
                <w:rtl w:val="0"/>
              </w:rPr>
              <w:t xml:space="preserve">subdomain</w:t>
            </w:r>
            <w:r w:rsidDel="00000000" w:rsidR="00000000" w:rsidRPr="00000000">
              <w:rPr>
                <w:rtl w:val="0"/>
              </w:rPr>
              <w:t xml:space="preserve"> é a chave para o roteamento do Load Balancer.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customers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Dados dos consumidores finais.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Possui </w:t>
            </w:r>
            <w:r w:rsidDel="00000000" w:rsidR="00000000" w:rsidRPr="00000000">
              <w:rPr>
                <w:color w:val="188038"/>
                <w:rtl w:val="0"/>
              </w:rPr>
              <w:t xml:space="preserve">UNIQUE(tenant_id, phone)</w:t>
            </w:r>
            <w:r w:rsidDel="00000000" w:rsidR="00000000" w:rsidRPr="00000000">
              <w:rPr>
                <w:rtl w:val="0"/>
              </w:rPr>
              <w:t xml:space="preserve"> para permitir o mesmo cliente em lojas diferentes.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Cardápio da loja.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Utiliza </w:t>
            </w:r>
            <w:r w:rsidDel="00000000" w:rsidR="00000000" w:rsidRPr="00000000">
              <w:rPr>
                <w:color w:val="188038"/>
                <w:rtl w:val="0"/>
              </w:rPr>
              <w:t xml:space="preserve">base_price</w:t>
            </w:r>
            <w:r w:rsidDel="00000000" w:rsidR="00000000" w:rsidRPr="00000000">
              <w:rPr>
                <w:rtl w:val="0"/>
              </w:rPr>
              <w:t xml:space="preserve"> como referência para o cálculo de venda.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Cabeçalho do pedido.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delivery_address_snapshot</w:t>
            </w:r>
            <w:r w:rsidDel="00000000" w:rsidR="00000000" w:rsidRPr="00000000">
              <w:rPr>
                <w:rtl w:val="0"/>
              </w:rPr>
              <w:t xml:space="preserve"> usa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JSONB</w:t>
            </w:r>
            <w:r w:rsidDel="00000000" w:rsidR="00000000" w:rsidRPr="00000000">
              <w:rPr>
                <w:rtl w:val="0"/>
              </w:rPr>
              <w:t xml:space="preserve"> para congelar o endereço da entrega no tempo.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order_items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Detalhes dos itens vendidos.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subtotal</w:t>
            </w:r>
            <w:r w:rsidDel="00000000" w:rsidR="00000000" w:rsidRPr="00000000">
              <w:rPr>
                <w:rtl w:val="0"/>
              </w:rPr>
              <w:t xml:space="preserve"> é uma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Generated Column</w:t>
            </w:r>
            <w:r w:rsidDel="00000000" w:rsidR="00000000" w:rsidRPr="00000000">
              <w:rPr>
                <w:rtl w:val="0"/>
              </w:rPr>
              <w:t xml:space="preserve">, garantindo cálculo matemático no core do banco.</w:t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8rlwk9ur0pq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Arquitetura de Segurança (Multi-tenancy)</w:t>
      </w:r>
    </w:p>
    <w:p w:rsidR="00000000" w:rsidDel="00000000" w:rsidP="00000000" w:rsidRDefault="00000000" w:rsidRPr="00000000" w14:paraId="00000022">
      <w:pPr>
        <w:spacing w:after="240" w:lineRule="auto"/>
        <w:rPr/>
      </w:pPr>
      <w:r w:rsidDel="00000000" w:rsidR="00000000" w:rsidRPr="00000000">
        <w:rPr>
          <w:rtl w:val="0"/>
        </w:rPr>
        <w:t xml:space="preserve">O sistema utiliza </w:t>
      </w:r>
      <w:r w:rsidDel="00000000" w:rsidR="00000000" w:rsidRPr="00000000">
        <w:rPr>
          <w:b w:val="1"/>
          <w:bCs w:val="1"/>
          <w:rtl w:val="0"/>
        </w:rPr>
        <w:t xml:space="preserve">RLS (Row Level Security)</w:t>
      </w:r>
      <w:r w:rsidDel="00000000" w:rsidR="00000000" w:rsidRPr="00000000">
        <w:rPr>
          <w:rtl w:val="0"/>
        </w:rPr>
        <w:t xml:space="preserve">. Isso significa que a segurança não depende apenas do código da aplicação.</w:t>
      </w:r>
    </w:p>
    <w:p w:rsidR="00000000" w:rsidDel="00000000" w:rsidP="00000000" w:rsidRDefault="00000000" w:rsidRPr="00000000" w14:paraId="00000023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Como funciona: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 aplicação estabelece a conexão.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Define o contexto do cliente: </w:t>
      </w:r>
      <w:r w:rsidDel="00000000" w:rsidR="00000000" w:rsidRPr="00000000">
        <w:rPr>
          <w:color w:val="188038"/>
          <w:rtl w:val="0"/>
        </w:rPr>
        <w:t xml:space="preserve">SET app.current_tenant = 'UUID-DA-PIZZARIA';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O PostgreSQL aplica a </w:t>
      </w:r>
      <w:r w:rsidDel="00000000" w:rsidR="00000000" w:rsidRPr="00000000">
        <w:rPr>
          <w:color w:val="188038"/>
          <w:rtl w:val="0"/>
        </w:rPr>
        <w:t xml:space="preserve">POLICY</w:t>
      </w:r>
      <w:r w:rsidDel="00000000" w:rsidR="00000000" w:rsidRPr="00000000">
        <w:rPr>
          <w:rtl w:val="0"/>
        </w:rPr>
        <w:t xml:space="preserve"> em tempo de execução, filtrando todas as linhas onde </w:t>
      </w:r>
      <w:r w:rsidDel="00000000" w:rsidR="00000000" w:rsidRPr="00000000">
        <w:rPr>
          <w:color w:val="188038"/>
          <w:rtl w:val="0"/>
        </w:rPr>
        <w:t xml:space="preserve">tenant_id</w:t>
      </w:r>
      <w:r w:rsidDel="00000000" w:rsidR="00000000" w:rsidRPr="00000000">
        <w:rPr>
          <w:rtl w:val="0"/>
        </w:rPr>
        <w:t xml:space="preserve"> seja diferente do valor definido.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4dlr8b8wwuw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Estratégia de Performance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Índices Parciais:</w:t>
      </w:r>
      <w:r w:rsidDel="00000000" w:rsidR="00000000" w:rsidRPr="00000000">
        <w:rPr>
          <w:rtl w:val="0"/>
        </w:rPr>
        <w:t xml:space="preserve"> Criados para filtrar apenas pedidos não entregues (</w:t>
      </w:r>
      <w:r w:rsidDel="00000000" w:rsidR="00000000" w:rsidRPr="00000000">
        <w:rPr>
          <w:color w:val="188038"/>
          <w:rtl w:val="0"/>
        </w:rPr>
        <w:t xml:space="preserve">WHERE order_status != 'delivered'</w:t>
      </w:r>
      <w:r w:rsidDel="00000000" w:rsidR="00000000" w:rsidRPr="00000000">
        <w:rPr>
          <w:rtl w:val="0"/>
        </w:rPr>
        <w:t xml:space="preserve">), reduzindo o tamanho do índice e acelerando a logística em tempo real.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Índices Compostos:</w:t>
      </w:r>
      <w:r w:rsidDel="00000000" w:rsidR="00000000" w:rsidRPr="00000000">
        <w:rPr>
          <w:rtl w:val="0"/>
        </w:rPr>
        <w:t xml:space="preserve"> Otimizados para buscas que combinam o </w:t>
      </w:r>
      <w:r w:rsidDel="00000000" w:rsidR="00000000" w:rsidRPr="00000000">
        <w:rPr>
          <w:color w:val="188038"/>
          <w:rtl w:val="0"/>
        </w:rPr>
        <w:t xml:space="preserve">tenant_id</w:t>
      </w:r>
      <w:r w:rsidDel="00000000" w:rsidR="00000000" w:rsidRPr="00000000">
        <w:rPr>
          <w:rtl w:val="0"/>
        </w:rPr>
        <w:t xml:space="preserve"> e a data de criação, garantindo que relatórios sejam gerados em milissegundos.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Automação de Timestamp:</w:t>
      </w:r>
      <w:r w:rsidDel="00000000" w:rsidR="00000000" w:rsidRPr="00000000">
        <w:rPr>
          <w:rtl w:val="0"/>
        </w:rPr>
        <w:t xml:space="preserve"> Uma Trigger global atualiza o campo </w:t>
      </w:r>
      <w:r w:rsidDel="00000000" w:rsidR="00000000" w:rsidRPr="00000000">
        <w:rPr>
          <w:color w:val="188038"/>
          <w:rtl w:val="0"/>
        </w:rPr>
        <w:t xml:space="preserve">updated_at</w:t>
      </w:r>
      <w:r w:rsidDel="00000000" w:rsidR="00000000" w:rsidRPr="00000000">
        <w:rPr>
          <w:rtl w:val="0"/>
        </w:rPr>
        <w:t xml:space="preserve"> automaticamente em qualquer </w:t>
      </w:r>
      <w:r w:rsidDel="00000000" w:rsidR="00000000" w:rsidRPr="00000000">
        <w:rPr>
          <w:color w:val="188038"/>
          <w:rtl w:val="0"/>
        </w:rPr>
        <w:t xml:space="preserve">UPDATE</w:t>
      </w:r>
      <w:r w:rsidDel="00000000" w:rsidR="00000000" w:rsidRPr="00000000">
        <w:rPr>
          <w:rtl w:val="0"/>
        </w:rPr>
        <w:t xml:space="preserve">, facilitando a invalidação de cache no </w:t>
      </w:r>
      <w:r w:rsidDel="00000000" w:rsidR="00000000" w:rsidRPr="00000000">
        <w:rPr>
          <w:b w:val="1"/>
          <w:bCs w:val="1"/>
          <w:rtl w:val="0"/>
        </w:rPr>
        <w:t xml:space="preserve">Redis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evvtb2x64o7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Como subir o ambiente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Certifique-se de que o PostgreSQL está instalado e acessível.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Execute o script de criação das extensões.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Rode o script DDL (Data Definition Language) na ordem: </w:t>
      </w:r>
      <w:r w:rsidDel="00000000" w:rsidR="00000000" w:rsidRPr="00000000">
        <w:rPr>
          <w:color w:val="188038"/>
          <w:rtl w:val="0"/>
        </w:rPr>
        <w:t xml:space="preserve">tenants</w:t>
      </w:r>
      <w:r w:rsidDel="00000000" w:rsidR="00000000" w:rsidRPr="00000000">
        <w:rPr>
          <w:rtl w:val="0"/>
        </w:rPr>
        <w:t xml:space="preserve"> -&gt; </w:t>
      </w:r>
      <w:r w:rsidDel="00000000" w:rsidR="00000000" w:rsidRPr="00000000">
        <w:rPr>
          <w:color w:val="188038"/>
          <w:rtl w:val="0"/>
        </w:rPr>
        <w:t xml:space="preserve">customers/ingredients/products</w:t>
      </w:r>
      <w:r w:rsidDel="00000000" w:rsidR="00000000" w:rsidRPr="00000000">
        <w:rPr>
          <w:rtl w:val="0"/>
        </w:rPr>
        <w:t xml:space="preserve"> -&gt; </w:t>
      </w:r>
      <w:r w:rsidDel="00000000" w:rsidR="00000000" w:rsidRPr="00000000">
        <w:rPr>
          <w:color w:val="188038"/>
          <w:rtl w:val="0"/>
        </w:rPr>
        <w:t xml:space="preserve">orders</w:t>
      </w:r>
      <w:r w:rsidDel="00000000" w:rsidR="00000000" w:rsidRPr="00000000">
        <w:rPr>
          <w:rtl w:val="0"/>
        </w:rPr>
        <w:t xml:space="preserve"> -&gt; </w:t>
      </w:r>
      <w:r w:rsidDel="00000000" w:rsidR="00000000" w:rsidRPr="00000000">
        <w:rPr>
          <w:color w:val="188038"/>
          <w:rtl w:val="0"/>
        </w:rPr>
        <w:t xml:space="preserve">order_items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Aplique as políticas de RLS e as Triggers de automação.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