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89AE" w14:textId="74D4C276" w:rsidR="00436A7E" w:rsidRDefault="0029030F" w:rsidP="00D534D0">
      <w:pPr>
        <w:pStyle w:val="Ttulo4"/>
      </w:pPr>
      <w:r w:rsidRPr="00194210">
        <w:t>AO DOUTO JUÍZO</w:t>
      </w:r>
      <w:r w:rsidR="007530A8">
        <w:t xml:space="preserve"> DA</w:t>
      </w:r>
      <w:r w:rsidRPr="00194210">
        <w:t xml:space="preserve"> </w:t>
      </w:r>
      <w:r w:rsidR="007530A8" w:rsidRPr="007530A8">
        <w:t>{{ vara_trabalho }}</w:t>
      </w:r>
    </w:p>
    <w:p w14:paraId="75B4982C" w14:textId="77777777" w:rsidR="00D534D0" w:rsidRPr="00D534D0" w:rsidRDefault="00D534D0" w:rsidP="00D534D0">
      <w:bookmarkStart w:id="0" w:name="_Toc173230121"/>
    </w:p>
    <w:p w14:paraId="53924F66" w14:textId="5A4CD67A" w:rsidR="008E5B96" w:rsidRDefault="0029030F" w:rsidP="00F36BDC">
      <w:pPr>
        <w:spacing w:after="0"/>
        <w:ind w:firstLine="0"/>
        <w:rPr>
          <w:rFonts w:ascii="Book Antiqua" w:hAnsi="Book Antiqua"/>
        </w:rPr>
      </w:pPr>
      <w:r w:rsidRPr="00194210">
        <w:rPr>
          <w:rFonts w:ascii="Book Antiqua" w:hAnsi="Book Antiqua"/>
        </w:rPr>
        <w:t xml:space="preserve">Processo </w:t>
      </w:r>
      <w:bookmarkEnd w:id="0"/>
      <w:r w:rsidR="00017D06" w:rsidRPr="00194210">
        <w:rPr>
          <w:rFonts w:ascii="Book Antiqua" w:hAnsi="Book Antiqua"/>
        </w:rPr>
        <w:t xml:space="preserve">nº </w:t>
      </w:r>
      <w:r w:rsidR="007530A8" w:rsidRPr="007530A8">
        <w:rPr>
          <w:rFonts w:ascii="Book Antiqua" w:hAnsi="Book Antiqua"/>
          <w:b/>
          <w:bCs/>
        </w:rPr>
        <w:t>{{ numero_processo }}</w:t>
      </w:r>
    </w:p>
    <w:p w14:paraId="167E001C" w14:textId="77777777" w:rsidR="00337CFB" w:rsidRPr="00194210" w:rsidRDefault="00337CFB" w:rsidP="00F36BDC">
      <w:pPr>
        <w:spacing w:after="0"/>
        <w:ind w:firstLine="0"/>
        <w:rPr>
          <w:rFonts w:ascii="Book Antiqua" w:hAnsi="Book Antiqua"/>
        </w:rPr>
      </w:pPr>
    </w:p>
    <w:p w14:paraId="42C6EE5C" w14:textId="13017F58" w:rsidR="00FD7B4B" w:rsidRPr="00194210" w:rsidRDefault="00FD7B4B" w:rsidP="0029030F">
      <w:pPr>
        <w:pStyle w:val="Ttulo4"/>
      </w:pPr>
      <w:r w:rsidRPr="00194210">
        <w:t xml:space="preserve">CONTESTAÇÃO </w:t>
      </w:r>
    </w:p>
    <w:bookmarkStart w:id="1" w:name="_Toc173230122"/>
    <w:bookmarkStart w:id="2" w:name="_Toc173230157"/>
    <w:p w14:paraId="70F81E0E" w14:textId="4DD01560" w:rsidR="00FD7B4B" w:rsidRPr="00194210" w:rsidRDefault="00FD7B4B" w:rsidP="00AE3760">
      <w:pPr>
        <w:ind w:firstLine="0"/>
        <w:rPr>
          <w:rFonts w:ascii="Book Antiqua" w:hAnsi="Book Antiqua" w:cs="Times New Roman"/>
        </w:rPr>
      </w:pPr>
      <w:r w:rsidRPr="00194210">
        <w:rPr>
          <w:rFonts w:ascii="Book Antiqua" w:hAnsi="Book Antiqua"/>
          <w:noProof/>
        </w:rPr>
        <mc:AlternateContent>
          <mc:Choice Requires="wps">
            <w:drawing>
              <wp:anchor distT="0" distB="0" distL="114300" distR="114300" simplePos="0" relativeHeight="251682816" behindDoc="0" locked="0" layoutInCell="1" allowOverlap="1" wp14:anchorId="2BC5F74F" wp14:editId="64AD6B29">
                <wp:simplePos x="0" y="0"/>
                <wp:positionH relativeFrom="margin">
                  <wp:align>left</wp:align>
                </wp:positionH>
                <wp:positionV relativeFrom="paragraph">
                  <wp:posOffset>42545</wp:posOffset>
                </wp:positionV>
                <wp:extent cx="6301740" cy="7620"/>
                <wp:effectExtent l="0" t="0" r="22860" b="30480"/>
                <wp:wrapNone/>
                <wp:docPr id="1480551401" name="Conector re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0174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9DE9E" id="Conector reto 14" o:spid="_x0000_s1026" style="position:absolute;flip: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35pt" to="496.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" strokecolor="black [3200]" strokeweight="1pt">
                <v:stroke joinstyle="miter"/>
                <o:lock v:ext="edit" shapetype="f"/>
                <w10:wrap anchorx="margin"/>
              </v:line>
            </w:pict>
          </mc:Fallback>
        </mc:AlternateContent>
      </w:r>
      <w:bookmarkEnd w:id="1"/>
      <w:bookmarkEnd w:id="2"/>
    </w:p>
    <w:p w14:paraId="7628F49E" w14:textId="30F46A0F" w:rsidR="00A57CF2" w:rsidRDefault="00FD7B4B" w:rsidP="00AE3760">
      <w:pPr>
        <w:autoSpaceDE w:val="0"/>
        <w:autoSpaceDN w:val="0"/>
        <w:adjustRightInd w:val="0"/>
        <w:spacing w:after="120" w:line="276" w:lineRule="auto"/>
        <w:ind w:left="993" w:firstLine="0"/>
        <w:rPr>
          <w:rFonts w:ascii="Book Antiqua" w:hAnsi="Book Antiqua" w:cs="Times New Roman"/>
          <w:b/>
          <w:bCs/>
          <w:noProof/>
        </w:rPr>
      </w:pPr>
      <w:r w:rsidRPr="00194210">
        <w:rPr>
          <w:rFonts w:ascii="Book Antiqua" w:hAnsi="Book Antiqua" w:cs="Times New Roman"/>
          <w:b/>
          <w:bCs/>
          <w:noProof/>
          <w:highlight w:val="yellow"/>
        </w:rPr>
        <w:drawing>
          <wp:anchor distT="0" distB="0" distL="114300" distR="114300" simplePos="0" relativeHeight="251683840" behindDoc="1" locked="0" layoutInCell="1" allowOverlap="1" wp14:anchorId="6BF4FF73" wp14:editId="30F8CCC6">
            <wp:simplePos x="0" y="0"/>
            <wp:positionH relativeFrom="column">
              <wp:posOffset>147847</wp:posOffset>
            </wp:positionH>
            <wp:positionV relativeFrom="paragraph">
              <wp:posOffset>12365</wp:posOffset>
            </wp:positionV>
            <wp:extent cx="371500" cy="359338"/>
            <wp:effectExtent l="0" t="0" r="0" b="3175"/>
            <wp:wrapNone/>
            <wp:docPr id="14289407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077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500" cy="359338"/>
                    </a:xfrm>
                    <a:prstGeom prst="rect">
                      <a:avLst/>
                    </a:prstGeom>
                  </pic:spPr>
                </pic:pic>
              </a:graphicData>
            </a:graphic>
            <wp14:sizeRelH relativeFrom="margin">
              <wp14:pctWidth>0</wp14:pctWidth>
            </wp14:sizeRelH>
            <wp14:sizeRelV relativeFrom="margin">
              <wp14:pctHeight>0</wp14:pctHeight>
            </wp14:sizeRelV>
          </wp:anchor>
        </w:drawing>
      </w:r>
      <w:r w:rsidR="007530A8" w:rsidRPr="007530A8">
        <w:rPr>
          <w:rFonts w:ascii="Book Antiqua" w:hAnsi="Book Antiqua" w:cs="Times New Roman"/>
          <w:b/>
          <w:bCs/>
          <w:noProof/>
        </w:rPr>
        <w:t>{{ nome_reclamante }}</w:t>
      </w:r>
    </w:p>
    <w:p w14:paraId="6CAA94CF" w14:textId="0982B366" w:rsidR="00FD7B4B" w:rsidRPr="00194210" w:rsidRDefault="00FD7B4B" w:rsidP="00AE3760">
      <w:pPr>
        <w:autoSpaceDE w:val="0"/>
        <w:autoSpaceDN w:val="0"/>
        <w:adjustRightInd w:val="0"/>
        <w:spacing w:after="120" w:line="276" w:lineRule="auto"/>
        <w:ind w:left="993" w:firstLine="0"/>
        <w:rPr>
          <w:rFonts w:ascii="Book Antiqua" w:hAnsi="Book Antiqua" w:cs="Times New Roman"/>
        </w:rPr>
      </w:pPr>
      <w:r w:rsidRPr="00194210">
        <w:rPr>
          <w:rFonts w:ascii="Book Antiqua" w:hAnsi="Book Antiqua"/>
          <w:noProof/>
        </w:rPr>
        <mc:AlternateContent>
          <mc:Choice Requires="wps">
            <w:drawing>
              <wp:anchor distT="0" distB="0" distL="114300" distR="114300" simplePos="0" relativeHeight="251681792" behindDoc="0" locked="0" layoutInCell="1" allowOverlap="1" wp14:anchorId="53D49448" wp14:editId="5659251A">
                <wp:simplePos x="0" y="0"/>
                <wp:positionH relativeFrom="margin">
                  <wp:align>left</wp:align>
                </wp:positionH>
                <wp:positionV relativeFrom="paragraph">
                  <wp:posOffset>476885</wp:posOffset>
                </wp:positionV>
                <wp:extent cx="6324600" cy="15240"/>
                <wp:effectExtent l="0" t="0" r="19050" b="22860"/>
                <wp:wrapNone/>
                <wp:docPr id="750387083" name="Conector re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24600" cy="1524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4CB86A" id="Conector reto 11" o:spid="_x0000_s1026" style="position:absolute;flip:y;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7.55pt" to="498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" strokecolor="black [3213]" strokeweight="1pt">
                <v:stroke joinstyle="miter"/>
                <o:lock v:ext="edit" shapetype="f"/>
                <w10:wrap anchorx="margin"/>
              </v:line>
            </w:pict>
          </mc:Fallback>
        </mc:AlternateContent>
      </w:r>
      <w:r w:rsidRPr="00194210">
        <w:rPr>
          <w:rFonts w:ascii="Book Antiqua" w:hAnsi="Book Antiqua" w:cs="Times New Roman"/>
          <w:noProof/>
        </w:rPr>
        <w:drawing>
          <wp:anchor distT="0" distB="0" distL="114300" distR="114300" simplePos="0" relativeHeight="251684864" behindDoc="1" locked="0" layoutInCell="1" allowOverlap="1" wp14:anchorId="24AE8D3B" wp14:editId="576CE7F3">
            <wp:simplePos x="0" y="0"/>
            <wp:positionH relativeFrom="column">
              <wp:posOffset>131812</wp:posOffset>
            </wp:positionH>
            <wp:positionV relativeFrom="paragraph">
              <wp:posOffset>3583</wp:posOffset>
            </wp:positionV>
            <wp:extent cx="427430" cy="451317"/>
            <wp:effectExtent l="0" t="0" r="0" b="6350"/>
            <wp:wrapNone/>
            <wp:docPr id="19258486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86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430" cy="451317"/>
                    </a:xfrm>
                    <a:prstGeom prst="rect">
                      <a:avLst/>
                    </a:prstGeom>
                  </pic:spPr>
                </pic:pic>
              </a:graphicData>
            </a:graphic>
            <wp14:sizeRelH relativeFrom="margin">
              <wp14:pctWidth>0</wp14:pctWidth>
            </wp14:sizeRelH>
            <wp14:sizeRelV relativeFrom="margin">
              <wp14:pctHeight>0</wp14:pctHeight>
            </wp14:sizeRelV>
          </wp:anchor>
        </w:drawing>
      </w:r>
      <w:r w:rsidRPr="00194210">
        <w:rPr>
          <w:rFonts w:ascii="Book Antiqua" w:hAnsi="Book Antiqua" w:cs="Times New Roman"/>
          <w:b/>
          <w:bCs/>
        </w:rPr>
        <w:t>BANCO DO BRASIL S.A</w:t>
      </w:r>
      <w:r w:rsidRPr="00194210">
        <w:rPr>
          <w:rFonts w:ascii="Book Antiqua" w:hAnsi="Book Antiqua" w:cs="Times New Roman"/>
        </w:rPr>
        <w:t>. instituição financeira, já devidamente qualificada nos autos.</w:t>
      </w:r>
    </w:p>
    <w:p w14:paraId="35729AAF" w14:textId="77777777" w:rsidR="008E5B96" w:rsidRPr="00194210" w:rsidRDefault="008E5B96" w:rsidP="00AE3760">
      <w:pPr>
        <w:ind w:firstLine="0"/>
      </w:pPr>
    </w:p>
    <w:p w14:paraId="1ED6FF50" w14:textId="1760FA9B" w:rsidR="006B0695" w:rsidRPr="00194210" w:rsidRDefault="006B0695" w:rsidP="006B0695">
      <w:pPr>
        <w:pStyle w:val="Ttulo1"/>
      </w:pPr>
      <w:r w:rsidRPr="00194210">
        <w:t xml:space="preserve">RESUMO DA EXORDIAL </w:t>
      </w:r>
    </w:p>
    <w:p w14:paraId="5A542EC6" w14:textId="5C0C902B" w:rsidR="00FD7B4B" w:rsidRPr="00194210" w:rsidRDefault="00FD7B4B" w:rsidP="00FD7B4B">
      <w:r w:rsidRPr="00194210">
        <w:t xml:space="preserve">O Reclamante afirma ter sido contratado pela </w:t>
      </w:r>
      <w:r w:rsidR="007530A8" w:rsidRPr="007530A8">
        <w:rPr>
          <w:b/>
          <w:bCs/>
          <w:color w:val="1F3864" w:themeColor="accent1" w:themeShade="80"/>
        </w:rPr>
        <w:t>{{ nome_primeira_reclamada }}</w:t>
      </w:r>
      <w:r w:rsidRPr="00194210">
        <w:t xml:space="preserve">, na data </w:t>
      </w:r>
      <w:r w:rsidR="007530A8" w:rsidRPr="007530A8">
        <w:t>{{ data_admissao }}</w:t>
      </w:r>
      <w:r w:rsidRPr="00194210">
        <w:t xml:space="preserve">, para </w:t>
      </w:r>
      <w:r w:rsidR="00375C66" w:rsidRPr="00194210">
        <w:t>atividade de Vigilante</w:t>
      </w:r>
      <w:r w:rsidRPr="00194210">
        <w:t xml:space="preserve">. </w:t>
      </w:r>
    </w:p>
    <w:p w14:paraId="371863A6" w14:textId="5CE127EE" w:rsidR="00FD7B4B" w:rsidRPr="00194210" w:rsidRDefault="00FD7B4B" w:rsidP="00FD7B4B">
      <w:r w:rsidRPr="00194210">
        <w:t xml:space="preserve">Argui também, que prestou serviços para a segunda reclamada, BANCO DO BRASIL, por esse motivo, requer o chamamento a lide do </w:t>
      </w:r>
      <w:r w:rsidR="003F1067">
        <w:t>banco</w:t>
      </w:r>
      <w:r w:rsidRPr="00194210">
        <w:t>, como responsável subsidiário.</w:t>
      </w:r>
    </w:p>
    <w:p w14:paraId="209FDD65" w14:textId="77777777" w:rsidR="00724101" w:rsidRPr="00194210" w:rsidRDefault="00724101" w:rsidP="00724101">
      <w:pPr>
        <w:autoSpaceDE w:val="0"/>
        <w:autoSpaceDN w:val="0"/>
        <w:adjustRightInd w:val="0"/>
        <w:spacing w:after="120" w:line="360" w:lineRule="auto"/>
        <w:ind w:firstLine="0"/>
        <w:rPr>
          <w:rFonts w:ascii="Times New Roman" w:hAnsi="Times New Roman" w:cs="Times New Roman"/>
        </w:rPr>
      </w:pPr>
      <w:r w:rsidRPr="00194210">
        <w:rPr>
          <w:rFonts w:ascii="Times New Roman" w:hAnsi="Times New Roman" w:cs="Times New Roman"/>
          <w:noProof/>
        </w:rPr>
        <w:drawing>
          <wp:inline distT="0" distB="0" distL="0" distR="0" wp14:anchorId="2127F22D" wp14:editId="02EAE05D">
            <wp:extent cx="5922010" cy="558800"/>
            <wp:effectExtent l="19050" t="0" r="40640" b="12700"/>
            <wp:docPr id="480372171"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A8A5CEE" w14:textId="4E682FA1" w:rsidR="005B4523" w:rsidRPr="00194210" w:rsidRDefault="005B4523" w:rsidP="00724101">
      <w:r w:rsidRPr="00194210">
        <w:t>Diante dos fatos mencionados, é necessário demonstrar que estes são indevidos pelos motivos a seguir expostos.</w:t>
      </w:r>
    </w:p>
    <w:p w14:paraId="7351BC41" w14:textId="77777777" w:rsidR="00F876AD" w:rsidRPr="00194210" w:rsidRDefault="00F876AD" w:rsidP="00F876AD">
      <w:pPr>
        <w:pStyle w:val="SemEspaamento"/>
      </w:pPr>
    </w:p>
    <w:p w14:paraId="6A75512D" w14:textId="3DF40E5A" w:rsidR="00FD7B4B" w:rsidRPr="00194210" w:rsidRDefault="00C30814" w:rsidP="00E60126">
      <w:pPr>
        <w:pStyle w:val="Ttulo1"/>
        <w:numPr>
          <w:ilvl w:val="0"/>
          <w:numId w:val="0"/>
        </w:numPr>
        <w:ind w:left="720" w:hanging="360"/>
      </w:pPr>
      <w:r w:rsidRPr="00194210">
        <w:t>DO MÉRITO</w:t>
      </w:r>
    </w:p>
    <w:p w14:paraId="25BECBBB" w14:textId="153341F0" w:rsidR="00E873A7" w:rsidRPr="00194210" w:rsidRDefault="00FD7B4B" w:rsidP="00FD7B4B">
      <w:pPr>
        <w:autoSpaceDE w:val="0"/>
        <w:autoSpaceDN w:val="0"/>
        <w:adjustRightInd w:val="0"/>
        <w:spacing w:after="120" w:line="276" w:lineRule="auto"/>
        <w:rPr>
          <w:rFonts w:ascii="Book Antiqua" w:hAnsi="Book Antiqua" w:cs="Times New Roman"/>
          <w:u w:val="single"/>
        </w:rPr>
      </w:pPr>
      <w:r w:rsidRPr="00194210">
        <w:rPr>
          <w:rFonts w:ascii="Book Antiqua" w:hAnsi="Book Antiqua" w:cs="Times New Roman"/>
        </w:rPr>
        <w:t xml:space="preserve">Em que pese o respeito à tese em debate, a Contestante </w:t>
      </w:r>
      <w:r w:rsidRPr="00194210">
        <w:rPr>
          <w:rFonts w:ascii="Book Antiqua" w:hAnsi="Book Antiqua" w:cs="Times New Roman"/>
          <w:b/>
          <w:color w:val="1F3864" w:themeColor="accent1" w:themeShade="80"/>
        </w:rPr>
        <w:t xml:space="preserve">BANCO DO BRASIL S.A </w:t>
      </w:r>
      <w:r w:rsidRPr="00194210">
        <w:rPr>
          <w:rFonts w:ascii="Book Antiqua" w:hAnsi="Book Antiqua" w:cs="Times New Roman"/>
        </w:rPr>
        <w:t>a rechaça totalmente, até porque resta incontrovertido que nunca houve vínculo</w:t>
      </w:r>
      <w:r w:rsidRPr="00194210">
        <w:rPr>
          <w:rFonts w:ascii="Book Antiqua" w:hAnsi="Book Antiqua" w:cs="Times New Roman"/>
          <w:b/>
        </w:rPr>
        <w:t xml:space="preserve"> </w:t>
      </w:r>
      <w:r w:rsidRPr="00194210">
        <w:rPr>
          <w:rFonts w:ascii="Book Antiqua" w:hAnsi="Book Antiqua" w:cs="Times New Roman"/>
        </w:rPr>
        <w:t xml:space="preserve">direto entre a Reclamante e a Contestante, </w:t>
      </w:r>
      <w:r w:rsidRPr="00194210">
        <w:rPr>
          <w:rFonts w:ascii="Book Antiqua" w:hAnsi="Book Antiqua" w:cs="Times New Roman"/>
          <w:u w:val="single"/>
        </w:rPr>
        <w:t>remanescendo a discussão sobre a suposta</w:t>
      </w:r>
      <w:r w:rsidRPr="00194210">
        <w:rPr>
          <w:rFonts w:ascii="Book Antiqua" w:hAnsi="Book Antiqua" w:cs="Times New Roman"/>
          <w:b/>
        </w:rPr>
        <w:t xml:space="preserve"> </w:t>
      </w:r>
      <w:r w:rsidRPr="00194210">
        <w:rPr>
          <w:rFonts w:ascii="Book Antiqua" w:hAnsi="Book Antiqua" w:cs="Times New Roman"/>
          <w:u w:val="single"/>
        </w:rPr>
        <w:t>responsabilidade subsidiária, decorrente de contrato entre empresas /terceirização lícita.</w:t>
      </w:r>
    </w:p>
    <w:p w14:paraId="39A15DBF" w14:textId="77777777" w:rsidR="00FD7B4B" w:rsidRPr="00194210" w:rsidRDefault="00FD7B4B" w:rsidP="00C974E9">
      <w:pPr>
        <w:ind w:firstLine="0"/>
      </w:pPr>
    </w:p>
    <w:p w14:paraId="0F9C9813" w14:textId="2BDE6585" w:rsidR="00C974E9" w:rsidRPr="00194210" w:rsidRDefault="007530A8" w:rsidP="00C974E9">
      <w:pPr>
        <w:pStyle w:val="Ttulo1"/>
      </w:pPr>
      <w:r w:rsidRPr="007530A8">
        <w:rPr>
          <w:bCs/>
        </w:rPr>
        <w:lastRenderedPageBreak/>
        <w:t>{% if tem_pad_fiscalizacao %}</w:t>
      </w:r>
      <w:r w:rsidRPr="007530A8">
        <w:t xml:space="preserve"> </w:t>
      </w:r>
      <w:r w:rsidR="00C974E9" w:rsidRPr="00194210">
        <w:t xml:space="preserve">DA </w:t>
      </w:r>
      <w:r w:rsidR="00774BFB">
        <w:t>fiscalizaç</w:t>
      </w:r>
      <w:r w:rsidR="008D3980">
        <w:t xml:space="preserve">ão - </w:t>
      </w:r>
      <w:r w:rsidR="00C974E9" w:rsidRPr="00194210">
        <w:t xml:space="preserve">INSTAURAÇÃO DO PROCESSO ADMINISTRATIVO DISCIPLINAR (PAD) </w:t>
      </w:r>
      <w:r w:rsidRPr="007530A8">
        <w:t>{{ numero_pad }}</w:t>
      </w:r>
    </w:p>
    <w:p w14:paraId="369CAA9E" w14:textId="77777777" w:rsidR="00596F4F" w:rsidRDefault="00C974E9" w:rsidP="00C974E9">
      <w:pPr>
        <w:autoSpaceDE w:val="0"/>
        <w:autoSpaceDN w:val="0"/>
        <w:adjustRightInd w:val="0"/>
        <w:spacing w:after="120" w:line="276" w:lineRule="auto"/>
        <w:rPr>
          <w:rFonts w:ascii="Book Antiqua" w:hAnsi="Book Antiqua" w:cs="Times New Roman"/>
        </w:rPr>
      </w:pPr>
      <w:r w:rsidRPr="00194210">
        <w:rPr>
          <w:rFonts w:ascii="Book Antiqua" w:hAnsi="Book Antiqua" w:cs="Times New Roman"/>
        </w:rPr>
        <w:t xml:space="preserve">Não se pode argumentar sobre a responsabilidade subsidiária por culpa </w:t>
      </w:r>
      <w:r w:rsidR="009152C2" w:rsidRPr="00194210">
        <w:rPr>
          <w:rFonts w:ascii="Book Antiqua" w:hAnsi="Book Antiqua" w:cs="Times New Roman"/>
          <w:i/>
          <w:iCs/>
        </w:rPr>
        <w:t>“</w:t>
      </w:r>
      <w:r w:rsidRPr="00194210">
        <w:rPr>
          <w:rFonts w:ascii="Book Antiqua" w:hAnsi="Book Antiqua" w:cs="Times New Roman"/>
          <w:i/>
          <w:iCs/>
        </w:rPr>
        <w:t>in vigilando</w:t>
      </w:r>
      <w:r w:rsidR="009152C2" w:rsidRPr="00194210">
        <w:rPr>
          <w:rFonts w:ascii="Book Antiqua" w:hAnsi="Book Antiqua" w:cs="Times New Roman"/>
          <w:i/>
          <w:iCs/>
        </w:rPr>
        <w:t>”</w:t>
      </w:r>
      <w:r w:rsidRPr="00194210">
        <w:rPr>
          <w:rFonts w:ascii="Book Antiqua" w:hAnsi="Book Antiqua" w:cs="Times New Roman"/>
        </w:rPr>
        <w:t xml:space="preserve">, uma vez que, além de todas as notificações de irregularidades, o Banco do Brasil iniciou um processo administrativo disciplinar. </w:t>
      </w:r>
      <w:r w:rsidRPr="00A60EAF">
        <w:rPr>
          <w:b/>
          <w:bCs/>
          <w:noProof/>
          <w:color w:val="1F3864" w:themeColor="accent1" w:themeShade="80"/>
          <w:shd w:val="clear" w:color="auto" w:fill="FFFFFF" w:themeFill="background1"/>
        </w:rPr>
        <w:t>Processo esse que resultou em multa por inexecução</w:t>
      </w:r>
      <w:r w:rsidR="00963000" w:rsidRPr="00A60EAF">
        <w:rPr>
          <w:b/>
          <w:bCs/>
          <w:noProof/>
          <w:color w:val="1F3864" w:themeColor="accent1" w:themeShade="80"/>
          <w:shd w:val="clear" w:color="auto" w:fill="FFFFFF" w:themeFill="background1"/>
        </w:rPr>
        <w:t xml:space="preserve"> é posterior encerramento do contrato com a terceirizada</w:t>
      </w:r>
      <w:r w:rsidRPr="00A60EAF">
        <w:rPr>
          <w:rFonts w:ascii="Book Antiqua" w:hAnsi="Book Antiqua" w:cs="Times New Roman"/>
          <w:shd w:val="clear" w:color="auto" w:fill="FFFFFF" w:themeFill="background1"/>
        </w:rPr>
        <w:t>.</w:t>
      </w:r>
      <w:r w:rsidRPr="00194210">
        <w:rPr>
          <w:rFonts w:ascii="Book Antiqua" w:hAnsi="Book Antiqua" w:cs="Times New Roman"/>
        </w:rPr>
        <w:t xml:space="preserve"> </w:t>
      </w:r>
    </w:p>
    <w:p w14:paraId="2A4E223D" w14:textId="5B92783B" w:rsidR="00C974E9" w:rsidRPr="00194210" w:rsidRDefault="00596F4F" w:rsidP="00C974E9">
      <w:pPr>
        <w:autoSpaceDE w:val="0"/>
        <w:autoSpaceDN w:val="0"/>
        <w:adjustRightInd w:val="0"/>
        <w:spacing w:after="120" w:line="276" w:lineRule="auto"/>
        <w:rPr>
          <w:rFonts w:ascii="Book Antiqua" w:hAnsi="Book Antiqua" w:cs="Times New Roman"/>
        </w:rPr>
      </w:pPr>
      <w:r>
        <w:rPr>
          <w:rFonts w:ascii="Book Antiqua" w:hAnsi="Book Antiqua" w:cs="Times New Roman"/>
        </w:rPr>
        <w:t>Ademias,</w:t>
      </w:r>
      <w:r w:rsidR="00C974E9" w:rsidRPr="00194210">
        <w:rPr>
          <w:rFonts w:ascii="Book Antiqua" w:hAnsi="Book Antiqua" w:cs="Times New Roman"/>
        </w:rPr>
        <w:t xml:space="preserve"> o contrato só se mant</w:t>
      </w:r>
      <w:r w:rsidR="004E7734" w:rsidRPr="00194210">
        <w:rPr>
          <w:rFonts w:ascii="Book Antiqua" w:hAnsi="Book Antiqua" w:cs="Times New Roman"/>
        </w:rPr>
        <w:t>eve</w:t>
      </w:r>
      <w:r w:rsidR="00C974E9" w:rsidRPr="00194210">
        <w:rPr>
          <w:rFonts w:ascii="Book Antiqua" w:hAnsi="Book Antiqua" w:cs="Times New Roman"/>
        </w:rPr>
        <w:t xml:space="preserve"> por </w:t>
      </w:r>
      <w:r w:rsidR="001833DC">
        <w:rPr>
          <w:rFonts w:ascii="Book Antiqua" w:hAnsi="Book Antiqua" w:cs="Times New Roman"/>
        </w:rPr>
        <w:t xml:space="preserve">mais tempo em virtude de </w:t>
      </w:r>
      <w:r w:rsidR="001833DC" w:rsidRPr="001833DC">
        <w:rPr>
          <w:rFonts w:ascii="Book Antiqua" w:hAnsi="Book Antiqua" w:cs="Times New Roman"/>
          <w:smallCaps/>
        </w:rPr>
        <w:t>determinação judicial</w:t>
      </w:r>
      <w:r w:rsidR="001833DC">
        <w:rPr>
          <w:rFonts w:ascii="Book Antiqua" w:hAnsi="Book Antiqua" w:cs="Times New Roman"/>
          <w:smallCaps/>
        </w:rPr>
        <w:t xml:space="preserve"> </w:t>
      </w:r>
      <w:r w:rsidR="00176433">
        <w:rPr>
          <w:rFonts w:ascii="Book Antiqua" w:hAnsi="Book Antiqua" w:cs="Times New Roman"/>
        </w:rPr>
        <w:t>decorrente da ação de recuperação judicial</w:t>
      </w:r>
      <w:r w:rsidR="00BD402F" w:rsidRPr="00BD402F">
        <w:rPr>
          <w:rFonts w:ascii="Book Antiqua" w:hAnsi="Book Antiqua" w:cs="Times New Roman"/>
        </w:rPr>
        <w:t xml:space="preserve"> 0802299-53.2019.8.20.5001</w:t>
      </w:r>
      <w:r>
        <w:rPr>
          <w:rFonts w:ascii="Book Antiqua" w:hAnsi="Book Antiqua" w:cs="Times New Roman"/>
        </w:rPr>
        <w:t xml:space="preserve"> o</w:t>
      </w:r>
      <w:r w:rsidR="008D5AF7" w:rsidRPr="008D5AF7">
        <w:rPr>
          <w:rFonts w:ascii="Book Antiqua" w:hAnsi="Book Antiqua" w:cs="Times New Roman"/>
        </w:rPr>
        <w:t xml:space="preserve"> que</w:t>
      </w:r>
      <w:r w:rsidR="008D5AF7">
        <w:rPr>
          <w:rFonts w:ascii="Book Antiqua" w:hAnsi="Book Antiqua" w:cs="Times New Roman"/>
        </w:rPr>
        <w:t xml:space="preserve"> limitou a capacidade de ação do banco e</w:t>
      </w:r>
      <w:r w:rsidR="008D5AF7" w:rsidRPr="008D5AF7">
        <w:rPr>
          <w:rFonts w:ascii="Book Antiqua" w:hAnsi="Book Antiqua" w:cs="Times New Roman"/>
        </w:rPr>
        <w:t xml:space="preserve"> afasta qualquer alegação de omissão voluntária ou inércia da Administração.</w:t>
      </w:r>
    </w:p>
    <w:p w14:paraId="053F05EF" w14:textId="6CF3AC67" w:rsidR="0029030F" w:rsidRPr="00194210" w:rsidRDefault="00256C51" w:rsidP="00F36BDC">
      <w:pPr>
        <w:ind w:firstLine="0"/>
        <w:jc w:val="center"/>
      </w:pPr>
      <w:r w:rsidRPr="00194210">
        <w:rPr>
          <w:noProof/>
        </w:rPr>
        <w:drawing>
          <wp:inline distT="0" distB="0" distL="0" distR="0" wp14:anchorId="40A62277" wp14:editId="6AF3CF02">
            <wp:extent cx="5186519" cy="2806360"/>
            <wp:effectExtent l="19050" t="19050" r="14605" b="13335"/>
            <wp:docPr id="1594394527" name="Imagem 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4527" name="Imagem 1" descr="Texto, Carta&#10;&#10;O conteúdo gerado por IA pode estar incorreto."/>
                    <pic:cNvPicPr/>
                  </pic:nvPicPr>
                  <pic:blipFill>
                    <a:blip r:embed="rId14"/>
                    <a:stretch>
                      <a:fillRect/>
                    </a:stretch>
                  </pic:blipFill>
                  <pic:spPr>
                    <a:xfrm>
                      <a:off x="0" y="0"/>
                      <a:ext cx="5210991" cy="2819601"/>
                    </a:xfrm>
                    <a:prstGeom prst="rect">
                      <a:avLst/>
                    </a:prstGeom>
                    <a:ln w="12700">
                      <a:solidFill>
                        <a:schemeClr val="accent1">
                          <a:lumMod val="75000"/>
                        </a:schemeClr>
                      </a:solidFill>
                    </a:ln>
                  </pic:spPr>
                </pic:pic>
              </a:graphicData>
            </a:graphic>
          </wp:inline>
        </w:drawing>
      </w:r>
    </w:p>
    <w:p w14:paraId="5B715BC5" w14:textId="77777777" w:rsidR="009C03F3" w:rsidRDefault="00DD02D0" w:rsidP="00DD02D0">
      <w:pPr>
        <w:rPr>
          <w:noProof/>
        </w:rPr>
      </w:pPr>
      <w:r>
        <w:rPr>
          <w:noProof/>
        </w:rPr>
        <w:t xml:space="preserve">Com efeito, o Banco do Brasil, na qualidade de sociedade de economia mista, submete suas contratações às regras próprias do Estatuto das Estatais (Lei nº 13.303/2016), </w:t>
      </w:r>
      <w:r w:rsidRPr="00DD02D0">
        <w:rPr>
          <w:b/>
          <w:bCs/>
          <w:noProof/>
          <w:color w:val="1F3864" w:themeColor="accent1" w:themeShade="80"/>
        </w:rPr>
        <w:t>observando procedimentos de governança, integridade e licitação mais rigorosos que os ordinariamente exigidos no setor privado</w:t>
      </w:r>
      <w:r>
        <w:rPr>
          <w:noProof/>
        </w:rPr>
        <w:t xml:space="preserve">. </w:t>
      </w:r>
    </w:p>
    <w:p w14:paraId="490CF356" w14:textId="4389EFD0" w:rsidR="00DD02D0" w:rsidRDefault="00DD02D0" w:rsidP="009C03F3">
      <w:pPr>
        <w:rPr>
          <w:noProof/>
        </w:rPr>
      </w:pPr>
      <w:r>
        <w:rPr>
          <w:noProof/>
        </w:rPr>
        <w:t xml:space="preserve">O próprio art. 77 da Lei nº 13.303/2016 estabelece que os encargos trabalhistas são de responsabilidade do contratado e que sua inadimplência não transfere, automaticamente, tal responsabilidade à empresa estatal, </w:t>
      </w:r>
      <w:r w:rsidRPr="009C03F3">
        <w:rPr>
          <w:b/>
          <w:bCs/>
          <w:noProof/>
          <w:color w:val="1F3864" w:themeColor="accent1" w:themeShade="80"/>
        </w:rPr>
        <w:t>corolário do regime jurídico especial e da presunção de legitimidade dos atos administrativos praticados na contratação e fiscalização</w:t>
      </w:r>
      <w:r>
        <w:rPr>
          <w:noProof/>
        </w:rPr>
        <w:t>. Nesse contexto normativo, a terceirização promovida pelo Banco goza de presunção de boa-fé e regularidade, a menos que se demonstre, de modo específico e inequívoco, conduta culposa da tomadora.</w:t>
      </w:r>
    </w:p>
    <w:p w14:paraId="7A07B932" w14:textId="53DC7477" w:rsidR="00DD02D0" w:rsidRDefault="00DD02D0" w:rsidP="009C03F3">
      <w:pPr>
        <w:rPr>
          <w:noProof/>
        </w:rPr>
      </w:pPr>
      <w:r>
        <w:rPr>
          <w:noProof/>
        </w:rPr>
        <w:lastRenderedPageBreak/>
        <w:t>Não obstante, no caso concreto, há elementos que afastam a alegação de culpa “</w:t>
      </w:r>
      <w:r w:rsidRPr="009C03F3">
        <w:rPr>
          <w:i/>
          <w:iCs/>
          <w:noProof/>
        </w:rPr>
        <w:t>in vigilando</w:t>
      </w:r>
      <w:r>
        <w:rPr>
          <w:noProof/>
        </w:rPr>
        <w:t xml:space="preserve">”. Os autos revelam que o Banco do Brasil adotou medidas efetivas de fiscalização, inclusive com a instauração de Processo Administrativo Disciplinar e aplicação de penalidade à contratada. </w:t>
      </w:r>
      <w:r w:rsidR="00D400FD">
        <w:rPr>
          <w:noProof/>
        </w:rPr>
        <w:t>Reitera-se que t</w:t>
      </w:r>
      <w:r>
        <w:rPr>
          <w:noProof/>
        </w:rPr>
        <w:t>ais atos demonstram atuação diligente e reforçam a boa-fé objetiva na gestão do contrato, o que inviabiliza a responsabilização subsidiária por suposta omissão fiscalizatória.</w:t>
      </w:r>
      <w:r w:rsidR="003715C8" w:rsidRPr="003715C8">
        <w:t xml:space="preserve"> </w:t>
      </w:r>
      <w:r w:rsidR="003715C8" w:rsidRPr="003715C8">
        <w:rPr>
          <w:noProof/>
        </w:rPr>
        <w:t>{% endif %}</w:t>
      </w:r>
    </w:p>
    <w:p w14:paraId="50D09570" w14:textId="77777777" w:rsidR="009C03F3" w:rsidRPr="00194210" w:rsidRDefault="009C03F3" w:rsidP="009C03F3">
      <w:pPr>
        <w:rPr>
          <w:noProof/>
        </w:rPr>
      </w:pPr>
    </w:p>
    <w:p w14:paraId="28656880" w14:textId="77777777" w:rsidR="000B0C9B" w:rsidRPr="00194210" w:rsidRDefault="000B0C9B" w:rsidP="000B0C9B">
      <w:pPr>
        <w:pStyle w:val="Ttulo1"/>
      </w:pPr>
      <w:r w:rsidRPr="00194210">
        <w:t>DO ÔNUS DA PROVA DA RESPONSABILIDADE SUBSIDIÁRIA – TEMA 1118 DO STF</w:t>
      </w:r>
    </w:p>
    <w:p w14:paraId="0BF072C9" w14:textId="4749DBEE" w:rsidR="00101DAE" w:rsidRPr="00194210" w:rsidRDefault="00101DAE" w:rsidP="00101DAE">
      <w:pPr>
        <w:rPr>
          <w:noProof/>
        </w:rPr>
      </w:pPr>
      <w:r w:rsidRPr="00194210">
        <w:rPr>
          <w:noProof/>
        </w:rPr>
        <w:t xml:space="preserve">A responsabilidade subsidiária da tomadora de serviços não pode ser presumida, tampouco imposta com base exclusiva na inadimplência da prestadora. Nos termos da tese firmada pelo Supremo Tribunal Federal no julgamento do </w:t>
      </w:r>
      <w:r w:rsidRPr="00194210">
        <w:rPr>
          <w:b/>
          <w:bCs/>
          <w:noProof/>
          <w:color w:val="1F3864" w:themeColor="accent1" w:themeShade="80"/>
        </w:rPr>
        <w:t>Tema 1118 da repercussão geral</w:t>
      </w:r>
      <w:r w:rsidRPr="00194210">
        <w:rPr>
          <w:noProof/>
        </w:rPr>
        <w:t xml:space="preserve">, a atribuição dessa responsabilidade exige </w:t>
      </w:r>
      <w:r w:rsidRPr="00194210">
        <w:rPr>
          <w:b/>
          <w:bCs/>
          <w:noProof/>
          <w:color w:val="1F3864" w:themeColor="accent1" w:themeShade="80"/>
        </w:rPr>
        <w:t>prova robusta de conduta negligente da Administração Pública</w:t>
      </w:r>
      <w:r w:rsidRPr="00194210">
        <w:rPr>
          <w:noProof/>
        </w:rPr>
        <w:t>, o que se traduz em inércia mesmo após a ciência formal de descumprimentos contratuais e trabalhistas.</w:t>
      </w:r>
    </w:p>
    <w:p w14:paraId="22703EAC" w14:textId="102C9AD4" w:rsidR="00101DAE" w:rsidRPr="00101DAE" w:rsidRDefault="00101DAE" w:rsidP="00101DAE">
      <w:pPr>
        <w:rPr>
          <w:noProof/>
        </w:rPr>
      </w:pPr>
      <w:r w:rsidRPr="00101DAE">
        <w:rPr>
          <w:noProof/>
        </w:rPr>
        <w:t xml:space="preserve">Com efeito, restou fixado que “não há responsabilidade subsidiária da Administração Pública por encargos trabalhistas gerados pelo inadimplemento de empresa prestadora de serviços contratada, se amparada exclusivamente na premissa da inversão do ônus da prova, remanescendo </w:t>
      </w:r>
      <w:r w:rsidRPr="00101DAE">
        <w:rPr>
          <w:b/>
          <w:bCs/>
          <w:noProof/>
          <w:color w:val="1F3864" w:themeColor="accent1" w:themeShade="80"/>
          <w:shd w:val="clear" w:color="auto" w:fill="B4C6E7" w:themeFill="accent1" w:themeFillTint="66"/>
        </w:rPr>
        <w:t>imprescindível a comprovação, pela parte autora</w:t>
      </w:r>
      <w:r w:rsidRPr="00101DAE">
        <w:rPr>
          <w:noProof/>
        </w:rPr>
        <w:t>, da efetiva existência de comportamento negligente ou nexo de causalidade entre o dano por ela invocado e a conduta comissiva ou omissiva do poder público”.</w:t>
      </w:r>
    </w:p>
    <w:p w14:paraId="4721020F" w14:textId="2C180096" w:rsidR="00101DAE" w:rsidRPr="00101DAE" w:rsidRDefault="00101DAE" w:rsidP="00101DAE">
      <w:pPr>
        <w:rPr>
          <w:noProof/>
        </w:rPr>
      </w:pPr>
      <w:r w:rsidRPr="00101DAE">
        <w:rPr>
          <w:noProof/>
        </w:rPr>
        <w:t xml:space="preserve">A prova da omissão não pode ser presumida. A simples ausência de documentos por parte da Reclamada não reverte o ônus probatório legalmente imposto ao Reclamante, que </w:t>
      </w:r>
      <w:r w:rsidRPr="0059533F">
        <w:rPr>
          <w:b/>
          <w:bCs/>
          <w:noProof/>
          <w:color w:val="1F3864" w:themeColor="accent1" w:themeShade="80"/>
        </w:rPr>
        <w:t>deve demonstrar, com precisão, que notificou formalmente a tomadora acerca das irregularidades cometidas pela empregadora — e que, mesmo diante disso, esta permaneceu inerte</w:t>
      </w:r>
      <w:r w:rsidRPr="00101DAE">
        <w:rPr>
          <w:noProof/>
        </w:rPr>
        <w:t>. Tal critério foi expressamente estabelecido na parte final do item 2 da tese vinculante: “Haverá comportamento negligente quando a Administração Pública permanecer inerte após o recebimento de notificação formal [...] por meio idôneo”.</w:t>
      </w:r>
    </w:p>
    <w:p w14:paraId="5858CE6B" w14:textId="550F002B" w:rsidR="00101DAE" w:rsidRPr="00101DAE" w:rsidRDefault="00101DAE" w:rsidP="00101DAE">
      <w:pPr>
        <w:rPr>
          <w:noProof/>
        </w:rPr>
      </w:pPr>
      <w:r w:rsidRPr="00101DAE">
        <w:rPr>
          <w:noProof/>
        </w:rPr>
        <w:t xml:space="preserve">No presente caso, a </w:t>
      </w:r>
      <w:r w:rsidR="00BB6E53" w:rsidRPr="00194210">
        <w:rPr>
          <w:noProof/>
        </w:rPr>
        <w:t>reclamante</w:t>
      </w:r>
      <w:r w:rsidRPr="00101DAE">
        <w:rPr>
          <w:noProof/>
        </w:rPr>
        <w:t xml:space="preserve"> </w:t>
      </w:r>
      <w:r w:rsidRPr="00101DAE">
        <w:rPr>
          <w:b/>
          <w:bCs/>
          <w:noProof/>
          <w:color w:val="1F3864" w:themeColor="accent1" w:themeShade="80"/>
          <w:shd w:val="clear" w:color="auto" w:fill="B4C6E7" w:themeFill="accent1" w:themeFillTint="66"/>
        </w:rPr>
        <w:t>não apresentou qualquer elemento de prova que evidencie conduta culposa da tomadora</w:t>
      </w:r>
      <w:r w:rsidRPr="00101DAE">
        <w:rPr>
          <w:noProof/>
        </w:rPr>
        <w:t xml:space="preserve">, tampouco demonstrou que esta tenha sido formalmente notificada da inadimplência pela empregadora direta. Ao revés, como consta nos autos, </w:t>
      </w:r>
      <w:r w:rsidRPr="0059533F">
        <w:rPr>
          <w:b/>
          <w:bCs/>
          <w:noProof/>
          <w:color w:val="1F3864" w:themeColor="accent1" w:themeShade="80"/>
          <w:shd w:val="clear" w:color="auto" w:fill="B4C6E7" w:themeFill="accent1" w:themeFillTint="66"/>
        </w:rPr>
        <w:t xml:space="preserve">a Reclamada </w:t>
      </w:r>
      <w:r w:rsidRPr="00101DAE">
        <w:rPr>
          <w:b/>
          <w:bCs/>
          <w:noProof/>
          <w:color w:val="1F3864" w:themeColor="accent1" w:themeShade="80"/>
          <w:shd w:val="clear" w:color="auto" w:fill="B4C6E7" w:themeFill="accent1" w:themeFillTint="66"/>
        </w:rPr>
        <w:t>fiscalizou ativamente a execução do contrato, inclusive instaurando procedimento administrativo disciplinar</w:t>
      </w:r>
      <w:r w:rsidRPr="00101DAE">
        <w:rPr>
          <w:noProof/>
        </w:rPr>
        <w:t xml:space="preserve"> e aplicando penalidades à contratada, conforme documentação acostada.</w:t>
      </w:r>
    </w:p>
    <w:p w14:paraId="347CD5BA" w14:textId="2ABE81E3" w:rsidR="004F711D" w:rsidRPr="00194210" w:rsidRDefault="00101DAE" w:rsidP="00815355">
      <w:pPr>
        <w:rPr>
          <w:noProof/>
        </w:rPr>
      </w:pPr>
      <w:r w:rsidRPr="00101DAE">
        <w:rPr>
          <w:noProof/>
        </w:rPr>
        <w:lastRenderedPageBreak/>
        <w:t>Dessa forma, inexiste suporte fático-jurídico que justifique a responsabilização subsidiária da tomadora, seja por inversão do ônus da prova, seja por presunção de culpa. Em estrita observância à tese vinculante do STF, impõe-se o afastamento da responsabilidade subsidiária no caso concreto.</w:t>
      </w:r>
    </w:p>
    <w:p w14:paraId="1C7AD22C" w14:textId="77777777" w:rsidR="00037166" w:rsidRPr="00194210" w:rsidRDefault="00037166" w:rsidP="00037166">
      <w:pPr>
        <w:pStyle w:val="SemEspaamento"/>
        <w:keepNext/>
        <w:framePr w:dropCap="drop" w:lines="2" w:wrap="around" w:vAnchor="text" w:hAnchor="text"/>
        <w:spacing w:after="0" w:line="593" w:lineRule="exact"/>
        <w:textAlignment w:val="baseline"/>
        <w:rPr>
          <w:position w:val="-5"/>
          <w:sz w:val="65"/>
        </w:rPr>
      </w:pPr>
      <w:r w:rsidRPr="00194210">
        <w:rPr>
          <w:position w:val="-5"/>
          <w:sz w:val="65"/>
        </w:rPr>
        <w:t>TEMA 1118</w:t>
      </w:r>
    </w:p>
    <w:p w14:paraId="2EDD91CA" w14:textId="77777777" w:rsidR="00037166" w:rsidRPr="00194210" w:rsidRDefault="00037166" w:rsidP="00037166">
      <w:pPr>
        <w:pStyle w:val="SemEspaamento"/>
      </w:pPr>
      <w:r w:rsidRPr="00194210">
        <w:rPr>
          <w:noProof/>
        </w:rPr>
        <mc:AlternateContent>
          <mc:Choice Requires="wps">
            <w:drawing>
              <wp:anchor distT="0" distB="0" distL="114300" distR="114300" simplePos="0" relativeHeight="251693056" behindDoc="1" locked="0" layoutInCell="1" allowOverlap="1" wp14:anchorId="052EC7E1" wp14:editId="6EB6BFE1">
                <wp:simplePos x="0" y="0"/>
                <wp:positionH relativeFrom="column">
                  <wp:posOffset>1743710</wp:posOffset>
                </wp:positionH>
                <wp:positionV relativeFrom="paragraph">
                  <wp:posOffset>14605</wp:posOffset>
                </wp:positionV>
                <wp:extent cx="6737350" cy="609600"/>
                <wp:effectExtent l="0" t="0" r="25400" b="19050"/>
                <wp:wrapNone/>
                <wp:docPr id="471339078"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EAC4E1" id="Retângulo: Cantos Arredondados 5" o:spid="_x0000_s1026" style="position:absolute;margin-left:137.3pt;margin-top:1.15pt;width:530.5pt;height:48pt;z-index:-251623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" fillcolor="#8eaadb [1940]" strokecolor="white [3212]" strokeweight="1pt">
                <v:stroke joinstyle="miter"/>
              </v:roundrect>
            </w:pict>
          </mc:Fallback>
        </mc:AlternateContent>
      </w:r>
      <w:r w:rsidRPr="00194210">
        <w:t xml:space="preserve"> Decisão: O Tribunal, por maioria, apreciando o tema 1.118 da repercussão geral, deu provimento ao recurso extraordinário para, reformando o acórdão recorrido, afastar a responsabilidade subsidiária da Administração Pública, nos termos do voto do Relator, vencidos os Ministros Edson Fachin e Dias Toffoli. Em seguida, por maioria, foi fixada a seguinte tese: "</w:t>
      </w:r>
      <w:r w:rsidRPr="00194210">
        <w:rPr>
          <w:b/>
          <w:bCs/>
          <w:color w:val="1F3864" w:themeColor="accent1" w:themeShade="80"/>
        </w:rPr>
        <w:t>1. Não há responsabilidade subsidiária da Administração Pública por encargos trabalhistas gerados pelo inadimplemento de empresa prestadora de serviços</w:t>
      </w:r>
      <w:r w:rsidRPr="00194210">
        <w:rPr>
          <w:color w:val="1F3864" w:themeColor="accent1" w:themeShade="80"/>
        </w:rPr>
        <w:t xml:space="preserve"> </w:t>
      </w:r>
      <w:r w:rsidRPr="00194210">
        <w:t xml:space="preserve">contratada, se amparada exclusivamente na premissa da inversão do ônus da prova, </w:t>
      </w:r>
      <w:r w:rsidRPr="00194210">
        <w:rPr>
          <w:b/>
          <w:bCs/>
          <w:color w:val="1F3864" w:themeColor="accent1" w:themeShade="80"/>
        </w:rPr>
        <w:t>remanescendo imprescindível a comprovação, pela parte autora, da efetiva existência de comportamento negligente ou nexo de causalidade entre o dano por ela invocado e a conduta comissiva ou omissiva do poder público</w:t>
      </w:r>
      <w:r w:rsidRPr="00194210">
        <w:t xml:space="preserve">. 2. Haverá </w:t>
      </w:r>
      <w:r w:rsidRPr="00194210">
        <w:rPr>
          <w:b/>
          <w:bCs/>
          <w:color w:val="1F3864" w:themeColor="accent1" w:themeShade="80"/>
        </w:rPr>
        <w:t xml:space="preserve">comportamento negligente quando a Administração Pública permanecer </w:t>
      </w:r>
      <w:r w:rsidRPr="00194210">
        <w:rPr>
          <w:b/>
          <w:bCs/>
          <w:color w:val="1F3864" w:themeColor="accent1" w:themeShade="80"/>
          <w:u w:val="single"/>
        </w:rPr>
        <w:t>inerte após o recebimento de notificação formal</w:t>
      </w:r>
      <w:r w:rsidRPr="00194210">
        <w:rPr>
          <w:u w:val="single"/>
        </w:rPr>
        <w:t xml:space="preserve"> </w:t>
      </w:r>
      <w:r w:rsidRPr="00194210">
        <w:t>de que a empresa contratada está descumprindo suas obrigações trabalhistas, enviada pelo trabalhador, sindicato, Ministério do Trabalho, Ministério Público, Defensoria Pública ou outro meio idôneo. 3. Constitui responsabilidade da Administração Pública garantir as condições de segurança, higiene e salubridade dos trabalhadores, quando o trabalho for realizado em suas dependências ou local previamente convencionado em contrato, nos termos do art. 5º-A, § 3º, da Lei nº 6.019/1974. 4. Nos contratos de terceirização, a Administração Pública deverá: (i) exigir da contratada a comprovação de capital social integralizado compatível com o número de empregados, na forma do art. 4º-B da Lei nº 6.019/1974; e (ii) adotar medidas para assegurar o cumprimento das obrigações trabalhistas pela contratada, na forma do art. 121, § 3º, da Lei nº 14.133/2021, tais como condicionar o pagamento à comprovação de quitação das obrigações trabalhistas do mês anterior", nos termos do voto do Relator, vencidos parcialmente os Ministros Cristiano Zanin, Flávio Dino, Edson Fachin e Dias Toffoli. Ausente, justificadamente, a Ministra Cármen Lúcia, que já havia proferido voto em assentada anterior. Impedido o Ministro Luiz Fux. Presidência do Ministro Luís Roberto Barroso. Plenário, 13.2.2025.</w:t>
      </w:r>
    </w:p>
    <w:p w14:paraId="4A48AAA8" w14:textId="77777777" w:rsidR="00037166" w:rsidRPr="00194210" w:rsidRDefault="00037166" w:rsidP="00A47A3C"/>
    <w:p w14:paraId="39424319" w14:textId="69E3267E" w:rsidR="0086678A" w:rsidRPr="00194210" w:rsidRDefault="001E04C8" w:rsidP="001E04C8">
      <w:pPr>
        <w:pStyle w:val="Ttulo1"/>
      </w:pPr>
      <w:r w:rsidRPr="00194210">
        <w:lastRenderedPageBreak/>
        <w:t>DA TERCEIRIZAÇÃO LÍCITA E DA AUSÊNCIA DE VÍNCULO</w:t>
      </w:r>
    </w:p>
    <w:p w14:paraId="7E124F68" w14:textId="501C8DF9" w:rsidR="0094141D" w:rsidRPr="00194210" w:rsidRDefault="0094141D" w:rsidP="00A249D5">
      <w:r w:rsidRPr="00194210">
        <w:t xml:space="preserve">A reclamada alega que trabalhou como </w:t>
      </w:r>
      <w:r w:rsidR="00A249D5" w:rsidRPr="00194210">
        <w:t>vigilante</w:t>
      </w:r>
      <w:r w:rsidRPr="00194210">
        <w:t xml:space="preserve"> de forma terceirizada para o </w:t>
      </w:r>
      <w:r w:rsidRPr="00194210">
        <w:rPr>
          <w:b/>
          <w:bCs/>
          <w:color w:val="1F3864" w:themeColor="accent1" w:themeShade="80"/>
        </w:rPr>
        <w:t>BANCO DO BRASIL</w:t>
      </w:r>
      <w:r w:rsidRPr="00194210">
        <w:t xml:space="preserve">, os serviços foram realizados mediante a contratação da 1ª Reclamada, não restando dúvidas da configuração de terceirização. </w:t>
      </w:r>
    </w:p>
    <w:p w14:paraId="21D37AFD" w14:textId="3506FA5D" w:rsidR="0094141D" w:rsidRPr="00194210" w:rsidRDefault="0094141D" w:rsidP="006A1642">
      <w:r w:rsidRPr="00194210">
        <w:t>Ainda, alega que a responsabilidade subsidiária advém da súmula 331 do TST, no entanto</w:t>
      </w:r>
      <w:r w:rsidR="00184686" w:rsidRPr="00194210">
        <w:t xml:space="preserve">, a </w:t>
      </w:r>
      <w:r w:rsidRPr="00194210">
        <w:t xml:space="preserve">súmula traz em seu inciso V que os entes da administração pública direta ou indireta só responderão subsidiariamente caso seja </w:t>
      </w:r>
      <w:r w:rsidR="00C15ED9" w:rsidRPr="00194210">
        <w:rPr>
          <w:smallCaps/>
        </w:rPr>
        <w:t>evidenciada</w:t>
      </w:r>
      <w:r w:rsidRPr="00194210">
        <w:t xml:space="preserve"> a má conduta no cumprimento das obrigações. </w:t>
      </w:r>
    </w:p>
    <w:p w14:paraId="35A19DDF" w14:textId="5AE89D37" w:rsidR="0094141D" w:rsidRPr="00194210" w:rsidRDefault="0094141D" w:rsidP="008767F3">
      <w:r w:rsidRPr="00194210">
        <w:t>Diz também que a responsabilidade NÃO decorre do mero inadimplemento das obrigações assumidas pela empresa contratada.</w:t>
      </w:r>
    </w:p>
    <w:p w14:paraId="67016B76" w14:textId="4FE11176" w:rsidR="0094141D" w:rsidRPr="00194210" w:rsidRDefault="004F711D" w:rsidP="006A1642">
      <w:pPr>
        <w:pStyle w:val="SemEspaamento"/>
      </w:pPr>
      <w:r>
        <w:rPr>
          <w:noProof/>
        </w:rPr>
        <mc:AlternateContent>
          <mc:Choice Requires="wps">
            <w:drawing>
              <wp:anchor distT="0" distB="0" distL="114300" distR="114300" simplePos="0" relativeHeight="251704320" behindDoc="0" locked="0" layoutInCell="1" allowOverlap="1" wp14:anchorId="0867B82F" wp14:editId="047B8F58">
                <wp:simplePos x="0" y="0"/>
                <wp:positionH relativeFrom="column">
                  <wp:posOffset>1737360</wp:posOffset>
                </wp:positionH>
                <wp:positionV relativeFrom="paragraph">
                  <wp:posOffset>50165</wp:posOffset>
                </wp:positionV>
                <wp:extent cx="0" cy="1441450"/>
                <wp:effectExtent l="0" t="0" r="38100" b="25400"/>
                <wp:wrapNone/>
                <wp:docPr id="69249828" name="Conector reto 14"/>
                <wp:cNvGraphicFramePr/>
                <a:graphic xmlns:a="http://schemas.openxmlformats.org/drawingml/2006/main">
                  <a:graphicData uri="http://schemas.microsoft.com/office/word/2010/wordprocessingShape">
                    <wps:wsp>
                      <wps:cNvCnPr/>
                      <wps:spPr>
                        <a:xfrm>
                          <a:off x="0" y="0"/>
                          <a:ext cx="0" cy="144145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B43E3C" id="Conector reto 14"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36.8pt,3.95pt" to="136.8pt,1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" strokecolor="#4472c4 [3204]" strokeweight="1pt">
                <v:stroke joinstyle="miter"/>
              </v:line>
            </w:pict>
          </mc:Fallback>
        </mc:AlternateContent>
      </w:r>
      <w:r w:rsidR="006A1642" w:rsidRPr="00194210">
        <w:t>Súmula331, V - Os entes integrantes da Administração Pública direta e indireta respondem subsidiariamente, nas mesmas condições do item IV, caso evidenciada a sua conduta culposa no cumprimento das obrigações da Lei n.º 8.666, de 21.06.1993, especialmente na fiscalização do cumprimento das obrigações contratuais e legais da prestadora de serviço como empregadora. A aludida responsabilidade não decorre de mero inadimplemento das obrigações trabalhistas assumidas pela empresa regularmente contratada.</w:t>
      </w:r>
    </w:p>
    <w:p w14:paraId="57D4BA13" w14:textId="2E4BC706" w:rsidR="006A1642" w:rsidRPr="00194210" w:rsidRDefault="0084314B" w:rsidP="003677BE">
      <w:r w:rsidRPr="00194210">
        <w:t>O Excelso Supremo Tribunal Federal, em recentes decisões proferidas em reclamações constitucionais, tem firmado jurisprudência no sentido de que a condenação subsidiária dos entes públicos, em caso de terceirização, não pode se fundar em presunção de culpa, na inversão do ônus da prova ou na afirmação genérica de ausência de prova da fiscalização do contrato firmado com a empresa prestadora de serviços.</w:t>
      </w:r>
    </w:p>
    <w:p w14:paraId="016620BC" w14:textId="77777777" w:rsidR="00550EAF" w:rsidRPr="00194210" w:rsidRDefault="00550EAF" w:rsidP="0084314B">
      <w:pPr>
        <w:pStyle w:val="SemEspaamento"/>
      </w:pPr>
    </w:p>
    <w:p w14:paraId="349E71C8" w14:textId="7F2BA1EC" w:rsidR="00B04556" w:rsidRPr="00194210" w:rsidRDefault="00B04556" w:rsidP="00B04556">
      <w:pPr>
        <w:pStyle w:val="SemEspaamento"/>
        <w:keepNext/>
        <w:framePr w:dropCap="drop" w:lines="2" w:wrap="around" w:vAnchor="text" w:hAnchor="text"/>
        <w:spacing w:after="0" w:line="593" w:lineRule="exact"/>
        <w:textAlignment w:val="baseline"/>
        <w:rPr>
          <w:position w:val="-5"/>
          <w:sz w:val="65"/>
        </w:rPr>
      </w:pPr>
      <w:r w:rsidRPr="00194210">
        <w:rPr>
          <w:position w:val="-5"/>
          <w:sz w:val="65"/>
        </w:rPr>
        <w:t>RE 7</w:t>
      </w:r>
      <w:r w:rsidR="00510B1D" w:rsidRPr="00194210">
        <w:rPr>
          <w:position w:val="-5"/>
          <w:sz w:val="65"/>
        </w:rPr>
        <w:t>60931</w:t>
      </w:r>
      <w:r w:rsidR="00AD3FBC">
        <w:rPr>
          <w:position w:val="-5"/>
          <w:sz w:val="65"/>
        </w:rPr>
        <w:t xml:space="preserve"> ED</w:t>
      </w:r>
    </w:p>
    <w:p w14:paraId="691215EA" w14:textId="668BF0CF" w:rsidR="00550EAF" w:rsidRPr="00194210" w:rsidRDefault="00510B1D" w:rsidP="0084314B">
      <w:pPr>
        <w:pStyle w:val="SemEspaamento"/>
      </w:pPr>
      <w:r w:rsidRPr="00194210">
        <w:rPr>
          <w:noProof/>
        </w:rPr>
        <mc:AlternateContent>
          <mc:Choice Requires="wps">
            <w:drawing>
              <wp:anchor distT="0" distB="0" distL="114300" distR="114300" simplePos="0" relativeHeight="251661312" behindDoc="1" locked="0" layoutInCell="1" allowOverlap="1" wp14:anchorId="74AA6A39" wp14:editId="15B3B198">
                <wp:simplePos x="0" y="0"/>
                <wp:positionH relativeFrom="column">
                  <wp:posOffset>1751965</wp:posOffset>
                </wp:positionH>
                <wp:positionV relativeFrom="paragraph">
                  <wp:posOffset>6985</wp:posOffset>
                </wp:positionV>
                <wp:extent cx="6737350" cy="609600"/>
                <wp:effectExtent l="0" t="0" r="25400" b="19050"/>
                <wp:wrapNone/>
                <wp:docPr id="2038833237"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EAE063" id="Retângulo: Cantos Arredondados 5" o:spid="_x0000_s1026" style="position:absolute;margin-left:137.95pt;margin-top:.55pt;width:530.5pt;height:48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" fillcolor="#8eaadb [1940]" strokecolor="white [3212]" strokeweight="1pt">
                <v:stroke joinstyle="miter"/>
              </v:roundrect>
            </w:pict>
          </mc:Fallback>
        </mc:AlternateContent>
      </w:r>
      <w:r w:rsidR="00550EAF" w:rsidRPr="00194210">
        <w:t xml:space="preserve">EMENTA: EMBARGOS DECLARATÓRIOS EM RECURSO EXTRAORDINÁRIO. TEMA 246 DA SISTEMÁTICA DA REPERCUSSÃO GERAL. RESPONSABILIDADE SUBSIDIÁRIA DA ADMINISTRAÇÃO PÚBLICA. EMPRESAS TERCEIRIZADAS. INEXISTÊNCIA DE OMISSÃO, OBSCURIDADE, CONTRADIÇÃO OU ERRO MATERIAL. EMBARGOS DE DECLARAÇÃO REJEITADOS. 1. Não há contradição a ser sanada, pois a tese aprovada, no contexto da sistemática da repercussão geral, reflete a posição da maioria da Corte quanto ao tema em questão, contemplando exatamente os debates que conduziram ao acórdão embargado. 2. Não se caracteriza obscuridade, pois, conforme está cristalino no acórdão e na respectiva tese de repercussão geral, </w:t>
      </w:r>
      <w:r w:rsidR="00550EAF" w:rsidRPr="00194210">
        <w:rPr>
          <w:b/>
          <w:bCs/>
          <w:color w:val="1F3864" w:themeColor="accent1" w:themeShade="80"/>
        </w:rPr>
        <w:t xml:space="preserve">a responsabilização subsidiária do poder público não é automática, dependendo de </w:t>
      </w:r>
      <w:r w:rsidR="00550EAF" w:rsidRPr="00194210">
        <w:rPr>
          <w:b/>
          <w:bCs/>
          <w:color w:val="1F3864" w:themeColor="accent1" w:themeShade="80"/>
        </w:rPr>
        <w:lastRenderedPageBreak/>
        <w:t xml:space="preserve">comprovação de culpa </w:t>
      </w:r>
      <w:r w:rsidR="00550EAF" w:rsidRPr="00194210">
        <w:rPr>
          <w:b/>
          <w:bCs/>
          <w:i/>
          <w:iCs/>
          <w:color w:val="1F3864" w:themeColor="accent1" w:themeShade="80"/>
        </w:rPr>
        <w:t>in eligendo</w:t>
      </w:r>
      <w:r w:rsidR="00550EAF" w:rsidRPr="00194210">
        <w:rPr>
          <w:b/>
          <w:bCs/>
          <w:color w:val="1F3864" w:themeColor="accent1" w:themeShade="80"/>
        </w:rPr>
        <w:t xml:space="preserve"> ou culpa in vigilando</w:t>
      </w:r>
      <w:r w:rsidR="00550EAF" w:rsidRPr="00194210">
        <w:t>, o que decorre da inarredável obrigação da administração pública de fiscalizar os contratos administrativos firmados sob os efeitos da estrita legalidade. 3. Embargos de declaração rejeitados. RE 760931 ED Órgão julgador: Tribunal Pleno Relator(a): Min. LUIZ FUX Redator(a) do acórdão: Min. EDSON FACHIN Julgamento: 01/08/2019</w:t>
      </w:r>
    </w:p>
    <w:p w14:paraId="3B03782F" w14:textId="77777777" w:rsidR="00550EAF" w:rsidRPr="00194210" w:rsidRDefault="00550EAF" w:rsidP="0084314B">
      <w:pPr>
        <w:pStyle w:val="SemEspaamento"/>
      </w:pPr>
    </w:p>
    <w:p w14:paraId="207AE0F9" w14:textId="47EFCFC6" w:rsidR="00BD2F8B" w:rsidRPr="00194210" w:rsidRDefault="00BD2F8B" w:rsidP="00BD2F8B">
      <w:pPr>
        <w:pStyle w:val="SemEspaamento"/>
        <w:keepNext/>
        <w:framePr w:dropCap="drop" w:lines="2" w:wrap="around" w:vAnchor="text" w:hAnchor="text"/>
        <w:spacing w:after="0" w:line="593" w:lineRule="exact"/>
        <w:textAlignment w:val="baseline"/>
        <w:rPr>
          <w:position w:val="-4"/>
          <w:sz w:val="63"/>
        </w:rPr>
      </w:pPr>
      <w:r w:rsidRPr="00194210">
        <w:rPr>
          <w:position w:val="-4"/>
          <w:sz w:val="63"/>
        </w:rPr>
        <w:t>RE</w:t>
      </w:r>
      <w:r w:rsidR="00AD3FBC">
        <w:rPr>
          <w:position w:val="-4"/>
          <w:sz w:val="63"/>
        </w:rPr>
        <w:t xml:space="preserve"> </w:t>
      </w:r>
      <w:r w:rsidRPr="00194210">
        <w:rPr>
          <w:position w:val="-4"/>
          <w:sz w:val="63"/>
        </w:rPr>
        <w:t>760931</w:t>
      </w:r>
    </w:p>
    <w:p w14:paraId="50B00468" w14:textId="221B8F56" w:rsidR="00550EAF" w:rsidRDefault="00BD2F8B" w:rsidP="0084314B">
      <w:pPr>
        <w:pStyle w:val="SemEspaamento"/>
      </w:pPr>
      <w:r w:rsidRPr="00194210">
        <w:rPr>
          <w:noProof/>
        </w:rPr>
        <mc:AlternateContent>
          <mc:Choice Requires="wps">
            <w:drawing>
              <wp:anchor distT="0" distB="0" distL="114300" distR="114300" simplePos="0" relativeHeight="251663360" behindDoc="1" locked="0" layoutInCell="1" allowOverlap="1" wp14:anchorId="4B8D23DB" wp14:editId="591C3F5B">
                <wp:simplePos x="0" y="0"/>
                <wp:positionH relativeFrom="column">
                  <wp:posOffset>1772285</wp:posOffset>
                </wp:positionH>
                <wp:positionV relativeFrom="paragraph">
                  <wp:posOffset>8255</wp:posOffset>
                </wp:positionV>
                <wp:extent cx="6737350" cy="609600"/>
                <wp:effectExtent l="0" t="0" r="25400" b="19050"/>
                <wp:wrapNone/>
                <wp:docPr id="323991743"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BBC560" id="Retângulo: Cantos Arredondados 5" o:spid="_x0000_s1026" style="position:absolute;margin-left:139.55pt;margin-top:.65pt;width:530.5pt;height:48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" fillcolor="#8eaadb [1940]" strokecolor="white [3212]" strokeweight="1pt">
                <v:stroke joinstyle="miter"/>
              </v:roundrect>
            </w:pict>
          </mc:Fallback>
        </mc:AlternateContent>
      </w:r>
      <w:r w:rsidR="00550EAF" w:rsidRPr="00194210">
        <w:t xml:space="preserve"> RECURSO EXTRAORDINÁRIO REPRESENTATIVO DE CONTROVÉRSIA COM REPERCUSSÃO GERAL.</w:t>
      </w:r>
      <w:r w:rsidRPr="00194210">
        <w:rPr>
          <w:noProof/>
        </w:rPr>
        <w:t xml:space="preserve"> </w:t>
      </w:r>
      <w:r w:rsidR="00550EAF" w:rsidRPr="00194210">
        <w:t xml:space="preserve"> DIREITO CONSTITUCIONAL. DIREITO DO TRABALHO. TERCEIRIZAÇÃO NO ÂMBITO DA ADMINISTRAÇÃO PÚBLICA. SÚMULA 331, IV E V, DO TST. CONSTITUCIONALIDADE DO ART. 71, § 1º, DA LEI Nº 8.666/93. TERCEIRIZAÇÃO COMO MECANISMO ESSENCIAL PARA A PRESERVAÇÃO DE POSTOS DE TRABALHO E ATENDIMENTO DAS DEMANDAS DOS CIDADÃOS. HISTÓRICO CIENTÍFICO. LITERATURA: ECONOMIA E ADMINISTRAÇÃO. INEXISTÊNCIA DE PRECARIZAÇÃO DO TRABALHO HUMANO. RESPEITO ÀS ESCOLHAS LEGÍTIMAS DO LEGISLADOR. PRECEDENTE: ADC 16. EFEITOS VINCULANTES. RECURSO PARCIALMENTE CONHECIDO E PROVIDO. FIXAÇÃO DE TESE PARA APLICAÇÃO EM CASOS SEMELHANTES. 4. 5. A terceirização apresenta os seguintes benefícios: (i) aprimoramento de tarefas pelo aprendizado especializado; (ii) economias de escala e de escopo; (iii) redução da complexidade organizacional; (iv) redução de problemas de cálculo e atribuição, facilitando a provisão de incentivos mais fortes a empregados; (v) precificação mais precisa de custos e maior transparência; (vi) estímulo à competição de fornecedores externos; (vii) maior facilidade de adaptação a necessidades de modificações estruturais; (viii) eliminação de problemas de possíveis excessos de produção; (ix) maior eficiência pelo fim de subsídios cruzados entre departamentos com desempenhos diferentes; (x) redução dos custos iniciais de entrada no mercado, facilitando o surgimento de novos concorrentes; (xi) superação de eventuais limitações de acesso a tecnologias ou matérias-primas; (xii) menor alavancagem operacional, diminuindo a exposição da companhia a riscos e oscilações de balanço, pela redução de seus custos fixos; (xiii) maior flexibilidade para adaptação ao mercado; (xiii) não comprometimento de recursos que poderiamser utilizados em setores estratégicos; (xiv) diminuição da possibilidade de falhas de um setor se comunicarem a outros; e (xv) melhor adaptação a diferentes requerimentos de administração, know-how e estrutura, para setores e atividades distintas. 6. A Administração Pública, pautada pelo dever de eficiência (art. 37, caput, da Constituição), deve empregar as soluções de mercado adequadas à prestação de serviços de excelência à população com os recursos </w:t>
      </w:r>
      <w:r w:rsidR="00550EAF" w:rsidRPr="00194210">
        <w:lastRenderedPageBreak/>
        <w:t>disponíveis, mormente quando demonstrado, pela teoria e pela prática internacional, que a terceirização não importa precarização às condições dos trabalhadores. 7. O art. 71, § 1º, da Lei nº 8.666/93, ao definir que a inadimplência do contratado, com referência aos encargos trabalhistas, não transfere à Administração Pública a responsabilidade por seu pagamento, representa legítima escolha do legislador, máxime porque a Lei nº 9.032/95 incluiu no dispositivo exceção à regra de não responsabilização com referência a encargos trabalhistas. 8. Constitucionalidade do art. 71, § 1º, da Lei nº 8.666/93 já reconhecida por esta Corte em caráter erga omnes e vinculante: ADC 16, Relator(a): Min. CEZAR PELUSO, Tribunal Pleno, julgado em 24/11/2010. 9. Recurso Extraordinário parcialmente conhecido e, na parte admitida, julgado procedente para fixar a seguinte tese para casos semelhantes: “</w:t>
      </w:r>
      <w:r w:rsidR="00550EAF" w:rsidRPr="00194210">
        <w:rPr>
          <w:b/>
          <w:bCs/>
          <w:color w:val="1F3864" w:themeColor="accent1" w:themeShade="80"/>
        </w:rPr>
        <w:t>O inadimplemento dos encargos trabalhistas dos empregados do contratado não transfere automaticamente ao Poder Público contratante a responsabilidade pelo seu pagamento, seja em caráter solidário ou subsidiário, nos termos do art. 71, § 1º, da Lei nº 8.666/93</w:t>
      </w:r>
      <w:r w:rsidR="00550EAF" w:rsidRPr="00194210">
        <w:t>” RE 760931 Órgão julgador: Tribunal Pleno Relator(a): Min. ROSA WEBER Redator(a) do acórdão: Min. LUIZ FUX.</w:t>
      </w:r>
    </w:p>
    <w:p w14:paraId="3C6E46D3" w14:textId="77777777" w:rsidR="004F711D" w:rsidRPr="00194210" w:rsidRDefault="004F711D" w:rsidP="0084314B">
      <w:pPr>
        <w:pStyle w:val="SemEspaamento"/>
      </w:pPr>
    </w:p>
    <w:p w14:paraId="3A58CACB" w14:textId="59A90CB1" w:rsidR="00E93BE4" w:rsidRPr="00EC5EA9" w:rsidRDefault="00E93BE4" w:rsidP="00E93BE4">
      <w:pPr>
        <w:rPr>
          <w:highlight w:val="yellow"/>
        </w:rPr>
      </w:pPr>
      <w:r w:rsidRPr="00EC5EA9">
        <w:rPr>
          <w:highlight w:val="yellow"/>
        </w:rPr>
        <w:t>Acordante com a tese temos ainda a 1ª Turma E.STF na Rcl 26819 AgR firmou entendimento de que “</w:t>
      </w:r>
      <w:r w:rsidRPr="00EC5EA9">
        <w:rPr>
          <w:b/>
          <w:bCs/>
          <w:color w:val="1F3864" w:themeColor="accent1" w:themeShade="80"/>
          <w:highlight w:val="yellow"/>
        </w:rPr>
        <w:t>a responsabilização do ente público depende da demonstração de que ele possuía conhecimento da situação de ilegalidade e que, apesar disso, deixou de adotar as medidas necessárias para combatê-la</w:t>
      </w:r>
      <w:r w:rsidRPr="00EC5EA9">
        <w:rPr>
          <w:highlight w:val="yellow"/>
        </w:rPr>
        <w:t>.”</w:t>
      </w:r>
    </w:p>
    <w:p w14:paraId="297FCB47" w14:textId="77777777" w:rsidR="004F711D" w:rsidRPr="00EC5EA9" w:rsidRDefault="004F711D" w:rsidP="00E93BE4">
      <w:pPr>
        <w:rPr>
          <w:highlight w:val="yellow"/>
        </w:rPr>
      </w:pPr>
    </w:p>
    <w:p w14:paraId="08F5EB8B" w14:textId="2ED9BDE8" w:rsidR="00BD2F8B" w:rsidRPr="00EC5EA9" w:rsidRDefault="00BD2F8B" w:rsidP="00BD2F8B">
      <w:pPr>
        <w:pStyle w:val="SemEspaamento"/>
        <w:keepNext/>
        <w:framePr w:dropCap="drop" w:lines="2" w:wrap="around" w:vAnchor="text" w:hAnchor="text"/>
        <w:spacing w:after="0" w:line="593" w:lineRule="exact"/>
        <w:textAlignment w:val="baseline"/>
        <w:rPr>
          <w:position w:val="-5"/>
          <w:sz w:val="65"/>
          <w:highlight w:val="yellow"/>
        </w:rPr>
      </w:pPr>
      <w:r w:rsidRPr="00EC5EA9">
        <w:rPr>
          <w:position w:val="-5"/>
          <w:sz w:val="65"/>
          <w:highlight w:val="yellow"/>
        </w:rPr>
        <w:t>RE</w:t>
      </w:r>
      <w:r w:rsidR="00F05E04" w:rsidRPr="00EC5EA9">
        <w:rPr>
          <w:position w:val="-5"/>
          <w:sz w:val="65"/>
          <w:highlight w:val="yellow"/>
        </w:rPr>
        <w:t>760.931</w:t>
      </w:r>
    </w:p>
    <w:p w14:paraId="7962121E" w14:textId="6E4A79A4" w:rsidR="00E93BE4" w:rsidRPr="00194210" w:rsidRDefault="00F05E04" w:rsidP="00E93BE4">
      <w:pPr>
        <w:pStyle w:val="SemEspaamento"/>
      </w:pPr>
      <w:r w:rsidRPr="00EC5EA9">
        <w:rPr>
          <w:noProof/>
          <w:highlight w:val="yellow"/>
        </w:rPr>
        <mc:AlternateContent>
          <mc:Choice Requires="wps">
            <w:drawing>
              <wp:anchor distT="0" distB="0" distL="114300" distR="114300" simplePos="0" relativeHeight="251665408" behindDoc="1" locked="0" layoutInCell="1" allowOverlap="1" wp14:anchorId="4E42FA11" wp14:editId="57EE39D5">
                <wp:simplePos x="0" y="0"/>
                <wp:positionH relativeFrom="column">
                  <wp:posOffset>1751965</wp:posOffset>
                </wp:positionH>
                <wp:positionV relativeFrom="paragraph">
                  <wp:posOffset>8255</wp:posOffset>
                </wp:positionV>
                <wp:extent cx="6737350" cy="609600"/>
                <wp:effectExtent l="0" t="0" r="25400" b="19050"/>
                <wp:wrapNone/>
                <wp:docPr id="1855035791"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984DB8" id="Retângulo: Cantos Arredondados 5" o:spid="_x0000_s1026" style="position:absolute;margin-left:137.95pt;margin-top:.65pt;width:530.5pt;height:48pt;z-index:-251651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" fillcolor="#8eaadb [1940]" strokecolor="white [3212]" strokeweight="1pt">
                <v:stroke joinstyle="miter"/>
              </v:roundrect>
            </w:pict>
          </mc:Fallback>
        </mc:AlternateContent>
      </w:r>
      <w:r w:rsidR="00E93BE4" w:rsidRPr="00EC5EA9">
        <w:rPr>
          <w:highlight w:val="yellow"/>
        </w:rPr>
        <w:t xml:space="preserve">EMENTA: DIREITO DO TRABALHO E ADMINISTRATIVO. AGRAVO INTERNO EM RECLAMAÇÃO. ART. 71, § 1º, DA LEI Nº 8.666/1993. RESPONSABILIDADE SUBSIDIÁRIA DA ADMINISTRAÇÃO POR DÍVIDAS TRABALHISTAS EM CASO DE TERCEIRIZAÇÃO. 1. O Supremo Tribunal Federal firmou, no julgamento do RE 760.931, Red. p/o acórdão 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2. Nesse contexto, a responsabilização do ente público depende da demonstração de que ele possuía conhecimento da situação de ilegalidade e que, apesar disso, deixou de adotar as medidas necessárias para combatê-la. </w:t>
      </w:r>
      <w:r w:rsidR="00E93BE4" w:rsidRPr="00EC5EA9">
        <w:rPr>
          <w:b/>
          <w:bCs/>
          <w:color w:val="1F3864" w:themeColor="accent1" w:themeShade="80"/>
          <w:highlight w:val="yellow"/>
        </w:rPr>
        <w:t xml:space="preserve">3. A responsabilidade subsidiária do ente público encontra-se embasada exclusivamente na ausência de prova da fiscalização do contrato de terceirização. De modo que foi violada a tese jurídica firmada na </w:t>
      </w:r>
      <w:r w:rsidR="00E93BE4" w:rsidRPr="00EC5EA9">
        <w:rPr>
          <w:b/>
          <w:bCs/>
          <w:color w:val="1F3864" w:themeColor="accent1" w:themeShade="80"/>
          <w:highlight w:val="yellow"/>
        </w:rPr>
        <w:lastRenderedPageBreak/>
        <w:t>ADC 16, Rel. Min. Cezar Peluso, à luz da interpretação que lhe foi dada no RE 760.931, Red. p/o acórdão o Min. Luiz Fux</w:t>
      </w:r>
      <w:r w:rsidR="00E93BE4" w:rsidRPr="00EC5EA9">
        <w:rPr>
          <w:highlight w:val="yellow"/>
        </w:rPr>
        <w:t>. Rcl 26819 AgR.</w:t>
      </w:r>
    </w:p>
    <w:p w14:paraId="463213DE" w14:textId="3D924421" w:rsidR="00550EAF" w:rsidRPr="00194210" w:rsidRDefault="00D904AE" w:rsidP="00F05E04">
      <w:r w:rsidRPr="00194210">
        <w:t xml:space="preserve">Importa salientar que em decisão prolatada pelo STF na Reclamação 26.819-RJ (Medida Cautelar na Reclamação 26.819), o Exmo. Ministro Luís Roberto Barroso decidiu que a responsabilidade subsidiária de ente público não pode ser embasada exclusivamente na inadimplência por parte da prestadora de serviços, ou mesmo na ausência de prova da fiscalização do contrato de terceirização pela Administração, </w:t>
      </w:r>
      <w:r w:rsidRPr="00194210">
        <w:rPr>
          <w:b/>
          <w:bCs/>
          <w:color w:val="1F3864" w:themeColor="accent1" w:themeShade="80"/>
        </w:rPr>
        <w:t>sendo imprescindível a demonstração de que o órgão público tinha conhecimento da irregularidade e que, a despeito disso, deixou de adotar as medidas necessárias</w:t>
      </w:r>
      <w:r w:rsidRPr="00194210">
        <w:t>, ou seja, que a Administração teve ciência do reiterado descumprimento de deveres trabalhistas relativamente ao mesmo contrato de terceirização e que, a despeito disso, permaneceu inerte.</w:t>
      </w:r>
    </w:p>
    <w:p w14:paraId="2AF14C11" w14:textId="7707800B" w:rsidR="00134BCF" w:rsidRPr="00194210" w:rsidRDefault="0000009A" w:rsidP="00C15ED9">
      <w:r w:rsidRPr="00194210">
        <w:t>Há ainda, inúmeras provas de que o BANCO DO BRASIL fiscalizou e COBROU a regularização, inclusive com instauração de PAD, como demonstra os arquivos em anexo.</w:t>
      </w:r>
      <w:r w:rsidR="00C15ED9" w:rsidRPr="00194210">
        <w:t xml:space="preserve"> </w:t>
      </w:r>
      <w:r w:rsidR="00134BCF" w:rsidRPr="00194210">
        <w:rPr>
          <w:rFonts w:ascii="Book Antiqua" w:hAnsi="Book Antiqua" w:cs="Times New Roman"/>
        </w:rPr>
        <w:t>Mister salientar que em anexo segue na integra a comprovação de fiscalização do contrato.</w:t>
      </w:r>
    </w:p>
    <w:p w14:paraId="2275AE15" w14:textId="0A3BE64E" w:rsidR="00134BCF" w:rsidRPr="00194210" w:rsidRDefault="00134BCF" w:rsidP="00134BCF">
      <w:pPr>
        <w:autoSpaceDE w:val="0"/>
        <w:autoSpaceDN w:val="0"/>
        <w:adjustRightInd w:val="0"/>
        <w:spacing w:after="120" w:line="276" w:lineRule="auto"/>
        <w:rPr>
          <w:rFonts w:ascii="Book Antiqua" w:hAnsi="Book Antiqua" w:cs="Times New Roman"/>
        </w:rPr>
      </w:pPr>
      <w:r w:rsidRPr="00194210">
        <w:rPr>
          <w:rFonts w:ascii="Book Antiqua" w:hAnsi="Book Antiqua" w:cs="Times New Roman"/>
        </w:rPr>
        <w:t>Notório que esta Reclamada cumpriu seu papel legal, e fiscalizou o contrato em questão, resta claro que não cabe a condenação subsidiaria no caso em tela.</w:t>
      </w:r>
    </w:p>
    <w:p w14:paraId="68ABFCE8" w14:textId="77E189F0" w:rsidR="00D904AE" w:rsidRPr="00194210" w:rsidRDefault="00D904AE" w:rsidP="00F05E04">
      <w:r w:rsidRPr="00194210">
        <w:t>Outrossim, é a ausência de vínculo empregatício visto que:</w:t>
      </w:r>
    </w:p>
    <w:p w14:paraId="2A4DF178" w14:textId="4A44859C" w:rsidR="000053EE" w:rsidRPr="00194210" w:rsidRDefault="000053EE" w:rsidP="000053EE">
      <w:pPr>
        <w:pStyle w:val="SemEspaamento"/>
      </w:pPr>
      <w:r w:rsidRPr="00194210">
        <w:t xml:space="preserve">a) </w:t>
      </w:r>
      <w:r w:rsidR="00D904AE" w:rsidRPr="00194210">
        <w:t xml:space="preserve">nunca houve a pessoalidade, pois, a RECLAMADA PRINCIPAL poderia substituir a parte RECLAMANTE a qualquer momento, inclusive quando o mesmo tirasse férias, faltasse ao trabalho etc.; </w:t>
      </w:r>
    </w:p>
    <w:p w14:paraId="16B5748A" w14:textId="77777777" w:rsidR="000053EE" w:rsidRPr="00194210" w:rsidRDefault="00D904AE" w:rsidP="000053EE">
      <w:pPr>
        <w:pStyle w:val="SemEspaamento"/>
      </w:pPr>
      <w:r w:rsidRPr="00194210">
        <w:t xml:space="preserve">b) também, nunca houve subordinação, pois, a parte RECLAMANTE era subordinado apenas e tão somente à RECLAMADA PRINCIPAL ainda que desempenhasse suas atividades nas dependências do BANCO DO BRASIL; </w:t>
      </w:r>
    </w:p>
    <w:p w14:paraId="66A6B0CA" w14:textId="0B354C1C" w:rsidR="00D904AE" w:rsidRPr="00194210" w:rsidRDefault="00D904AE" w:rsidP="000053EE">
      <w:pPr>
        <w:pStyle w:val="SemEspaamento"/>
      </w:pPr>
      <w:r w:rsidRPr="00194210">
        <w:t>c) não recebeu remuneração do BANCO DO BRASIL;</w:t>
      </w:r>
    </w:p>
    <w:p w14:paraId="4F05B367" w14:textId="42E8E6DC" w:rsidR="00D904AE" w:rsidRPr="00194210" w:rsidRDefault="00224AF9" w:rsidP="00D904AE">
      <w:pPr>
        <w:pStyle w:val="SemEspaamento"/>
        <w:ind w:left="360"/>
      </w:pPr>
      <w:r w:rsidRPr="00194210">
        <w:t>Portanto o pedido de responsabilidade subsidiária deve ser indeferido.</w:t>
      </w:r>
    </w:p>
    <w:p w14:paraId="7A040F0D" w14:textId="77777777" w:rsidR="00E873A7" w:rsidRPr="00194210" w:rsidRDefault="00E873A7" w:rsidP="00D904AE">
      <w:pPr>
        <w:pStyle w:val="SemEspaamento"/>
        <w:ind w:left="360"/>
      </w:pPr>
    </w:p>
    <w:p w14:paraId="00306C56" w14:textId="64E0A340" w:rsidR="00037166" w:rsidRPr="00194210" w:rsidRDefault="00224AF9" w:rsidP="00037166">
      <w:pPr>
        <w:pStyle w:val="Ttulo1"/>
      </w:pPr>
      <w:r w:rsidRPr="00194210">
        <w:t>PRECEDENTES QUE AFASTAM A TESE DE RESPONSABILIDADE SUBSIDIÁRIA</w:t>
      </w:r>
    </w:p>
    <w:p w14:paraId="02CA0402" w14:textId="1514664A" w:rsidR="009C0C5D" w:rsidRDefault="00C73B07" w:rsidP="00C76AB6">
      <w:r w:rsidRPr="00194210">
        <w:t xml:space="preserve">O cerne da questão, </w:t>
      </w:r>
      <w:r w:rsidR="002853DD">
        <w:t>gravita em torno da</w:t>
      </w:r>
      <w:r w:rsidRPr="00194210">
        <w:t xml:space="preserve"> responsabilidade subsidiária</w:t>
      </w:r>
      <w:r w:rsidR="002853DD">
        <w:t>,</w:t>
      </w:r>
      <w:r w:rsidRPr="00194210">
        <w:t xml:space="preserve"> a questão da suposta culpa </w:t>
      </w:r>
      <w:r w:rsidRPr="00194210">
        <w:rPr>
          <w:i/>
          <w:iCs/>
        </w:rPr>
        <w:t>in vigilando</w:t>
      </w:r>
      <w:r w:rsidR="002853DD">
        <w:rPr>
          <w:i/>
          <w:iCs/>
        </w:rPr>
        <w:t xml:space="preserve"> e </w:t>
      </w:r>
      <w:r w:rsidR="002853DD" w:rsidRPr="002853DD">
        <w:t>do seu ônus de provas</w:t>
      </w:r>
      <w:r w:rsidR="002853DD">
        <w:t xml:space="preserve">, como já demonstrado, questões superadas pelo </w:t>
      </w:r>
      <w:r w:rsidR="00587DF9">
        <w:t>Tema</w:t>
      </w:r>
      <w:r w:rsidR="00016BD5">
        <w:t>s</w:t>
      </w:r>
      <w:r w:rsidR="00587DF9">
        <w:t xml:space="preserve"> </w:t>
      </w:r>
      <w:r w:rsidR="00016BD5" w:rsidRPr="00016BD5">
        <w:t>246 e 1118</w:t>
      </w:r>
      <w:r w:rsidRPr="00194210">
        <w:t>.</w:t>
      </w:r>
    </w:p>
    <w:p w14:paraId="4DDE6B26" w14:textId="760D9996" w:rsidR="006703E1" w:rsidRDefault="006703E1" w:rsidP="006703E1">
      <w:r w:rsidRPr="006703E1">
        <w:t xml:space="preserve">Para reforçar a tese de ausência de responsabilidade subsidiária do BANCO DO BRASIL S.A., especialmente em contratos de terceirização fiscalizados, colacionam-se </w:t>
      </w:r>
      <w:r w:rsidRPr="006703E1">
        <w:lastRenderedPageBreak/>
        <w:t xml:space="preserve">abaixo decisões regionais recentes que, em </w:t>
      </w:r>
      <w:r w:rsidRPr="006703E1">
        <w:rPr>
          <w:b/>
          <w:bCs/>
          <w:color w:val="1F3864" w:themeColor="accent1" w:themeShade="80"/>
          <w:shd w:val="clear" w:color="auto" w:fill="8EAADB" w:themeFill="accent1" w:themeFillTint="99"/>
        </w:rPr>
        <w:t>situações idênticas, afastaram a responsabilização da instituição financeira</w:t>
      </w:r>
      <w:r w:rsidRPr="006703E1">
        <w:t>:</w:t>
      </w:r>
    </w:p>
    <w:p w14:paraId="4D971C64" w14:textId="77777777" w:rsidR="004F711D" w:rsidRPr="006703E1" w:rsidRDefault="004F711D" w:rsidP="006703E1"/>
    <w:p w14:paraId="738B8A9B" w14:textId="25898F5E" w:rsidR="00311DF0" w:rsidRPr="00526D26" w:rsidRDefault="00AE4FA1" w:rsidP="00526D26">
      <w:pPr>
        <w:pStyle w:val="Ttulo1"/>
        <w:numPr>
          <w:ilvl w:val="2"/>
          <w:numId w:val="1"/>
        </w:numPr>
        <w:rPr>
          <w:i/>
          <w:iCs/>
          <w:sz w:val="24"/>
          <w:szCs w:val="24"/>
        </w:rPr>
      </w:pPr>
      <w:r w:rsidRPr="00311DF0">
        <w:rPr>
          <w:bCs/>
          <w:i/>
          <w:iCs/>
          <w:sz w:val="24"/>
          <w:szCs w:val="24"/>
        </w:rPr>
        <w:t xml:space="preserve">TRT 21ª - </w:t>
      </w:r>
      <w:r w:rsidR="00311DF0" w:rsidRPr="00CD2B8C">
        <w:rPr>
          <w:bCs/>
          <w:i/>
          <w:iCs/>
          <w:sz w:val="24"/>
          <w:szCs w:val="24"/>
        </w:rPr>
        <w:t>5ª Vara do Trabalho de Natal/RN</w:t>
      </w:r>
      <w:r>
        <w:rPr>
          <w:bCs/>
          <w:i/>
          <w:iCs/>
          <w:sz w:val="24"/>
          <w:szCs w:val="24"/>
        </w:rPr>
        <w:t xml:space="preserve"> -</w:t>
      </w:r>
      <w:r w:rsidR="00CD2B8C">
        <w:rPr>
          <w:bCs/>
          <w:i/>
          <w:iCs/>
          <w:sz w:val="24"/>
          <w:szCs w:val="24"/>
        </w:rPr>
        <w:t xml:space="preserve"> </w:t>
      </w:r>
      <w:r w:rsidR="00CD2B8C" w:rsidRPr="00CD2B8C">
        <w:rPr>
          <w:bCs/>
          <w:i/>
          <w:iCs/>
          <w:sz w:val="24"/>
          <w:szCs w:val="24"/>
        </w:rPr>
        <w:t>Processos:</w:t>
      </w:r>
      <w:r w:rsidR="00CD2B8C">
        <w:rPr>
          <w:i/>
          <w:iCs/>
          <w:sz w:val="24"/>
          <w:szCs w:val="24"/>
        </w:rPr>
        <w:t xml:space="preserve"> </w:t>
      </w:r>
      <w:r w:rsidR="00311DF0" w:rsidRPr="00CD2B8C">
        <w:rPr>
          <w:i/>
          <w:iCs/>
          <w:sz w:val="24"/>
          <w:szCs w:val="24"/>
        </w:rPr>
        <w:t>0000629-75.2025.5.21.0005,</w:t>
      </w:r>
      <w:r w:rsidR="00526D26">
        <w:rPr>
          <w:i/>
          <w:iCs/>
          <w:sz w:val="24"/>
          <w:szCs w:val="24"/>
        </w:rPr>
        <w:t xml:space="preserve"> </w:t>
      </w:r>
      <w:r w:rsidR="00311DF0" w:rsidRPr="00526D26">
        <w:rPr>
          <w:i/>
          <w:iCs/>
          <w:sz w:val="24"/>
          <w:szCs w:val="24"/>
        </w:rPr>
        <w:t>0000618-46.2025.5.21.0005, 0000616-76.2025.5.21.0005</w:t>
      </w:r>
    </w:p>
    <w:p w14:paraId="4B5146A2" w14:textId="6B6E5EB5" w:rsidR="00311DF0" w:rsidRDefault="00311DF0" w:rsidP="00311DF0">
      <w:r w:rsidRPr="00311DF0">
        <w:t xml:space="preserve">Em casos nos mesmos termos e sobre a mesma reclamada, a 5ª Vara do Trabalho de Natal entendeu por </w:t>
      </w:r>
      <w:r w:rsidRPr="00311DF0">
        <w:rPr>
          <w:b/>
          <w:bCs/>
          <w:color w:val="1F3864" w:themeColor="accent1" w:themeShade="80"/>
        </w:rPr>
        <w:t>não reconhecer a responsabilidade subsidiária do BANCO DO BRASIL S/A</w:t>
      </w:r>
      <w:r w:rsidRPr="00311DF0">
        <w:rPr>
          <w:color w:val="1F3864" w:themeColor="accent1" w:themeShade="80"/>
        </w:rPr>
        <w:t>,</w:t>
      </w:r>
      <w:r w:rsidRPr="00311DF0">
        <w:t xml:space="preserve"> diante da comprovação de que a tomadora fiscalizou devidamente o cumprimento das obrigações contratuais pela prestadora de serviços.</w:t>
      </w:r>
    </w:p>
    <w:p w14:paraId="54327DBB" w14:textId="71A168A2" w:rsidR="00586A55" w:rsidRDefault="00526D26" w:rsidP="001D6215">
      <w:pPr>
        <w:pStyle w:val="SemEspaamento"/>
      </w:pPr>
      <w:r>
        <w:rPr>
          <w:noProof/>
        </w:rPr>
        <mc:AlternateContent>
          <mc:Choice Requires="wps">
            <w:drawing>
              <wp:anchor distT="0" distB="0" distL="114300" distR="114300" simplePos="0" relativeHeight="251697152" behindDoc="0" locked="0" layoutInCell="1" allowOverlap="1" wp14:anchorId="4E7CBAA4" wp14:editId="76D7BE29">
                <wp:simplePos x="0" y="0"/>
                <wp:positionH relativeFrom="column">
                  <wp:posOffset>1720960</wp:posOffset>
                </wp:positionH>
                <wp:positionV relativeFrom="paragraph">
                  <wp:posOffset>48647</wp:posOffset>
                </wp:positionV>
                <wp:extent cx="0" cy="1248354"/>
                <wp:effectExtent l="0" t="0" r="38100" b="28575"/>
                <wp:wrapNone/>
                <wp:docPr id="110951281" name="Conector reto 13"/>
                <wp:cNvGraphicFramePr/>
                <a:graphic xmlns:a="http://schemas.openxmlformats.org/drawingml/2006/main">
                  <a:graphicData uri="http://schemas.microsoft.com/office/word/2010/wordprocessingShape">
                    <wps:wsp>
                      <wps:cNvCnPr/>
                      <wps:spPr>
                        <a:xfrm>
                          <a:off x="0" y="0"/>
                          <a:ext cx="0" cy="1248354"/>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5620E0" id="Conector reto 13"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35.5pt,3.85pt" to="135.5pt,1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" strokecolor="#4472c4 [3204]" strokeweight="1pt">
                <v:stroke joinstyle="miter"/>
              </v:line>
            </w:pict>
          </mc:Fallback>
        </mc:AlternateContent>
      </w:r>
      <w:r w:rsidR="00ED642D" w:rsidRPr="00ED642D">
        <w:t>No presente caso, há elementos nos autos que demonstram que o tomador foi diligente quanto ao seu encargo de fiscalização da empresa prestadora de serviços, ao longo do contrato de emprego do reclamante, consoante revelam os documentos anexados, o que permite concluir que não incide a culpa in vigilando, nos termos do item V da Súmula nº. 331 do Tribunal Superior do Trabalho, já que restou comprovada a fiscalização efetiva do ente público.</w:t>
      </w:r>
    </w:p>
    <w:p w14:paraId="3F86F101" w14:textId="427A3E9C" w:rsidR="001D6215" w:rsidRPr="00586A55" w:rsidRDefault="001D6215" w:rsidP="001D6215">
      <w:pPr>
        <w:pStyle w:val="SemEspaamento"/>
      </w:pPr>
    </w:p>
    <w:p w14:paraId="54500A00" w14:textId="1B1BC2A8" w:rsidR="00586A55" w:rsidRPr="00586A55" w:rsidRDefault="00586A55" w:rsidP="00586A55">
      <w:pPr>
        <w:pStyle w:val="Ttulo1"/>
        <w:numPr>
          <w:ilvl w:val="2"/>
          <w:numId w:val="1"/>
        </w:numPr>
        <w:rPr>
          <w:bCs/>
          <w:i/>
          <w:iCs/>
          <w:sz w:val="24"/>
          <w:szCs w:val="24"/>
        </w:rPr>
      </w:pPr>
      <w:r w:rsidRPr="00311DF0">
        <w:rPr>
          <w:bCs/>
          <w:i/>
          <w:iCs/>
          <w:sz w:val="24"/>
          <w:szCs w:val="24"/>
        </w:rPr>
        <w:t xml:space="preserve">TRT 21ª - </w:t>
      </w:r>
      <w:r>
        <w:rPr>
          <w:bCs/>
          <w:i/>
          <w:iCs/>
          <w:sz w:val="24"/>
          <w:szCs w:val="24"/>
        </w:rPr>
        <w:t>13</w:t>
      </w:r>
      <w:r w:rsidRPr="00CD2B8C">
        <w:rPr>
          <w:bCs/>
          <w:i/>
          <w:iCs/>
          <w:sz w:val="24"/>
          <w:szCs w:val="24"/>
        </w:rPr>
        <w:t>ª Vara do Trabalho de Natal/RN</w:t>
      </w:r>
      <w:r>
        <w:rPr>
          <w:bCs/>
          <w:i/>
          <w:iCs/>
          <w:sz w:val="24"/>
          <w:szCs w:val="24"/>
        </w:rPr>
        <w:t xml:space="preserve"> - </w:t>
      </w:r>
      <w:r w:rsidRPr="00CD2B8C">
        <w:rPr>
          <w:bCs/>
          <w:i/>
          <w:iCs/>
          <w:sz w:val="24"/>
          <w:szCs w:val="24"/>
        </w:rPr>
        <w:t>Processo:</w:t>
      </w:r>
      <w:r w:rsidRPr="00586A55">
        <w:rPr>
          <w:bCs/>
          <w:i/>
          <w:iCs/>
          <w:sz w:val="24"/>
          <w:szCs w:val="24"/>
        </w:rPr>
        <w:t xml:space="preserve"> 0000638-20.2025.5.21.0043</w:t>
      </w:r>
    </w:p>
    <w:p w14:paraId="22ED9503" w14:textId="13076C6B" w:rsidR="00586A55" w:rsidRDefault="00F71322" w:rsidP="00A20F1B">
      <w:pPr>
        <w:pStyle w:val="SemEspaamento"/>
      </w:pPr>
      <w:r>
        <w:rPr>
          <w:noProof/>
        </w:rPr>
        <mc:AlternateContent>
          <mc:Choice Requires="wps">
            <w:drawing>
              <wp:anchor distT="0" distB="0" distL="114300" distR="114300" simplePos="0" relativeHeight="251710464" behindDoc="0" locked="0" layoutInCell="1" allowOverlap="1" wp14:anchorId="780084D4" wp14:editId="5E9648A5">
                <wp:simplePos x="0" y="0"/>
                <wp:positionH relativeFrom="column">
                  <wp:posOffset>1720960</wp:posOffset>
                </wp:positionH>
                <wp:positionV relativeFrom="paragraph">
                  <wp:posOffset>4335</wp:posOffset>
                </wp:positionV>
                <wp:extent cx="0" cy="2902226"/>
                <wp:effectExtent l="0" t="0" r="38100" b="31750"/>
                <wp:wrapNone/>
                <wp:docPr id="1" name="Conector reto 13"/>
                <wp:cNvGraphicFramePr/>
                <a:graphic xmlns:a="http://schemas.openxmlformats.org/drawingml/2006/main">
                  <a:graphicData uri="http://schemas.microsoft.com/office/word/2010/wordprocessingShape">
                    <wps:wsp>
                      <wps:cNvCnPr/>
                      <wps:spPr>
                        <a:xfrm>
                          <a:off x="0" y="0"/>
                          <a:ext cx="0" cy="2902226"/>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D45A4" id="Conector reto 1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5pt,.35pt" to="135.5pt,2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" strokecolor="#4472c4 [3204]" strokeweight="1pt">
                <v:stroke joinstyle="miter"/>
              </v:line>
            </w:pict>
          </mc:Fallback>
        </mc:AlternateContent>
      </w:r>
      <w:r w:rsidR="00A20F1B" w:rsidRPr="00A20F1B">
        <w:t>Especificamente,  juntou:  certidões  mensais  de  regularidade fiscal e trabalhista no tocante à primeira reclamada; certidões de débitos trabalhistas; solicitação de instauração de processo administrativo sancionatório a fornecedor; carta fiança  referente  ao  cumprimento  das  obrigações  decorrentes  do  contrato  com  a primeira  reclamada;  determinação  para  abertura  de  processo  administrativo,  bem como sua notificação inicial à primeira ré; recomendação de aplicação de sanção de multa  por  descumprimento  de  obrigação  contratual,  no  bojo  de  processo administrativo; e aplicação de sanção administrativa de multa por descumprimento contratual.</w:t>
      </w:r>
    </w:p>
    <w:p w14:paraId="7C6ED941" w14:textId="6972D192" w:rsidR="00A20F1B" w:rsidRPr="00586A55" w:rsidRDefault="0032474F" w:rsidP="00A20F1B">
      <w:pPr>
        <w:pStyle w:val="SemEspaamento"/>
      </w:pPr>
      <w:r w:rsidRPr="0032474F">
        <w:t>Assim, considero que houve resposta suficientemente célere na fiscalização do cumprimento de obrigações trabalhistas, tendo em vista que existe um lapso temporal necessário nos processos de averiguação de irregularidades, tomada de decisões e implementação de medidas pertinentes.</w:t>
      </w:r>
    </w:p>
    <w:p w14:paraId="2FCB3CF0" w14:textId="77777777" w:rsidR="00586A55" w:rsidRPr="00586A55" w:rsidRDefault="00586A55" w:rsidP="00A47A3C"/>
    <w:p w14:paraId="13F6434C" w14:textId="25E8DC31" w:rsidR="00586A55" w:rsidRPr="00586A55" w:rsidRDefault="00586A55" w:rsidP="00586A55">
      <w:pPr>
        <w:pStyle w:val="Ttulo1"/>
        <w:numPr>
          <w:ilvl w:val="2"/>
          <w:numId w:val="1"/>
        </w:numPr>
        <w:rPr>
          <w:bCs/>
          <w:i/>
          <w:iCs/>
          <w:sz w:val="24"/>
          <w:szCs w:val="24"/>
        </w:rPr>
      </w:pPr>
      <w:r w:rsidRPr="00311DF0">
        <w:rPr>
          <w:bCs/>
          <w:i/>
          <w:iCs/>
          <w:sz w:val="24"/>
          <w:szCs w:val="24"/>
        </w:rPr>
        <w:lastRenderedPageBreak/>
        <w:t xml:space="preserve">TRT 21ª - </w:t>
      </w:r>
      <w:r w:rsidRPr="00CD2B8C">
        <w:rPr>
          <w:bCs/>
          <w:i/>
          <w:iCs/>
          <w:sz w:val="24"/>
          <w:szCs w:val="24"/>
        </w:rPr>
        <w:t xml:space="preserve">Vara do Trabalho de </w:t>
      </w:r>
      <w:r w:rsidR="00E35328">
        <w:rPr>
          <w:bCs/>
          <w:i/>
          <w:iCs/>
          <w:sz w:val="24"/>
          <w:szCs w:val="24"/>
        </w:rPr>
        <w:t>ASSU</w:t>
      </w:r>
      <w:r w:rsidRPr="00CD2B8C">
        <w:rPr>
          <w:bCs/>
          <w:i/>
          <w:iCs/>
          <w:sz w:val="24"/>
          <w:szCs w:val="24"/>
        </w:rPr>
        <w:t>/RN</w:t>
      </w:r>
      <w:r>
        <w:rPr>
          <w:bCs/>
          <w:i/>
          <w:iCs/>
          <w:sz w:val="24"/>
          <w:szCs w:val="24"/>
        </w:rPr>
        <w:t xml:space="preserve"> - </w:t>
      </w:r>
      <w:r w:rsidRPr="00CD2B8C">
        <w:rPr>
          <w:bCs/>
          <w:i/>
          <w:iCs/>
          <w:sz w:val="24"/>
          <w:szCs w:val="24"/>
        </w:rPr>
        <w:t>Processo:</w:t>
      </w:r>
      <w:r w:rsidRPr="00586A55">
        <w:rPr>
          <w:bCs/>
          <w:i/>
          <w:iCs/>
          <w:sz w:val="24"/>
          <w:szCs w:val="24"/>
        </w:rPr>
        <w:t xml:space="preserve"> 0000840-78.2025.5.21.0016</w:t>
      </w:r>
    </w:p>
    <w:p w14:paraId="7B0687C1" w14:textId="77777777" w:rsidR="00586A55" w:rsidRDefault="00586A55" w:rsidP="00ED642D">
      <w:pPr>
        <w:pStyle w:val="SemEspaamento"/>
        <w:rPr>
          <w:rFonts w:ascii="Open Sans" w:hAnsi="Open Sans" w:cs="Open Sans"/>
          <w:b/>
          <w:bCs/>
          <w:i/>
          <w:iCs/>
          <w:color w:val="FFFFFF"/>
          <w:sz w:val="18"/>
          <w:szCs w:val="18"/>
          <w:shd w:val="clear" w:color="auto" w:fill="008000"/>
        </w:rPr>
      </w:pPr>
    </w:p>
    <w:p w14:paraId="7C5C2738" w14:textId="5BEF33F0" w:rsidR="00F71322" w:rsidRPr="001D2B84" w:rsidRDefault="00591223" w:rsidP="00ED642D">
      <w:pPr>
        <w:pStyle w:val="SemEspaamento"/>
      </w:pPr>
      <w:r w:rsidRPr="001D2B84">
        <w:t>Nesse  contexto,  negar  a  existência  de  fiscalização  pela litisconsorte,  seria  atribuir-lhe  uma  responsabilidade  a  qualquer  custo,  isto  é,  uma verdadeira responsabilidade objetiva por risco integral, o que não tem pertinência em matéria de responsabilidade contratual.</w:t>
      </w:r>
    </w:p>
    <w:p w14:paraId="40577E1B" w14:textId="44055871" w:rsidR="00591223" w:rsidRPr="001D2B84" w:rsidRDefault="001D2B84" w:rsidP="00ED642D">
      <w:pPr>
        <w:pStyle w:val="SemEspaamento"/>
      </w:pPr>
      <w:r w:rsidRPr="001D2B84">
        <w:t>Assim, com espeque em toda</w:t>
      </w:r>
      <w:r w:rsidR="009303AE" w:rsidRPr="001D2B84">
        <w:t xml:space="preserve"> a documentação adunada,</w:t>
      </w:r>
      <w:r>
        <w:t xml:space="preserve"> </w:t>
      </w:r>
      <w:r w:rsidR="009303AE" w:rsidRPr="001D2B84">
        <w:t>entendo  evidenciada  a  existência  de  fiscalização  acerca  do  cumprimento  das obrigações  trabalhistas  da  reclamada,  sendo  certo  que  não  foi  a  omissão  de fiscalização,  ou  qualquer  atitude  comissiva  da  litisconsorte,  que  ocasionou  o inadimplemento das verbas trabalhistas do reclamante.</w:t>
      </w:r>
    </w:p>
    <w:p w14:paraId="5BB61A5A" w14:textId="77777777" w:rsidR="00E35328" w:rsidRPr="00311DF0" w:rsidRDefault="00E35328" w:rsidP="00ED642D">
      <w:pPr>
        <w:pStyle w:val="SemEspaamento"/>
      </w:pPr>
    </w:p>
    <w:p w14:paraId="080F851A" w14:textId="6DD78624" w:rsidR="00311DF0" w:rsidRPr="00311DF0" w:rsidRDefault="00311DF0" w:rsidP="00ED642D">
      <w:pPr>
        <w:pStyle w:val="Ttulo1"/>
        <w:numPr>
          <w:ilvl w:val="2"/>
          <w:numId w:val="1"/>
        </w:numPr>
        <w:rPr>
          <w:bCs/>
          <w:i/>
          <w:iCs/>
          <w:sz w:val="24"/>
          <w:szCs w:val="24"/>
        </w:rPr>
      </w:pPr>
      <w:r w:rsidRPr="00311DF0">
        <w:rPr>
          <w:bCs/>
          <w:i/>
          <w:iCs/>
          <w:sz w:val="24"/>
          <w:szCs w:val="24"/>
        </w:rPr>
        <w:t xml:space="preserve">TRT 21ª </w:t>
      </w:r>
      <w:r w:rsidR="00ED642D" w:rsidRPr="00311DF0">
        <w:rPr>
          <w:bCs/>
          <w:i/>
          <w:iCs/>
          <w:sz w:val="24"/>
          <w:szCs w:val="24"/>
        </w:rPr>
        <w:t xml:space="preserve">- </w:t>
      </w:r>
      <w:r w:rsidR="00940F16">
        <w:rPr>
          <w:bCs/>
          <w:i/>
          <w:iCs/>
          <w:sz w:val="24"/>
          <w:szCs w:val="24"/>
        </w:rPr>
        <w:t>2</w:t>
      </w:r>
      <w:r w:rsidR="00ED642D" w:rsidRPr="00311DF0">
        <w:rPr>
          <w:bCs/>
          <w:i/>
          <w:iCs/>
          <w:sz w:val="24"/>
          <w:szCs w:val="24"/>
        </w:rPr>
        <w:t>ª Turma</w:t>
      </w:r>
      <w:r w:rsidR="00ED642D">
        <w:rPr>
          <w:bCs/>
          <w:i/>
          <w:iCs/>
          <w:sz w:val="24"/>
          <w:szCs w:val="24"/>
        </w:rPr>
        <w:t xml:space="preserve"> - </w:t>
      </w:r>
      <w:r w:rsidR="00ED642D" w:rsidRPr="00311DF0">
        <w:rPr>
          <w:bCs/>
          <w:i/>
          <w:iCs/>
          <w:sz w:val="24"/>
          <w:szCs w:val="24"/>
        </w:rPr>
        <w:t>Processo: 0000966-74.2024.5.21.0013 (Recurso Ordinário)</w:t>
      </w:r>
    </w:p>
    <w:p w14:paraId="5671FE86" w14:textId="7CEA6409" w:rsidR="00311DF0" w:rsidRDefault="00311DF0" w:rsidP="00311DF0">
      <w:r w:rsidRPr="00311DF0">
        <w:t xml:space="preserve">O Tribunal Regional do Trabalho da 21ª Região reformou a sentença de origem e afastou a responsabilidade subsidiária do Banco do Brasil, com fulcro no Tema 1118 do STF, ao reconhecer que não restou configurada a </w:t>
      </w:r>
      <w:r w:rsidRPr="00311DF0">
        <w:rPr>
          <w:i/>
          <w:iCs/>
        </w:rPr>
        <w:t>culpa in vigilando</w:t>
      </w:r>
      <w:r w:rsidRPr="00311DF0">
        <w:t>, estando comprovada a regular fiscalização do contrato.</w:t>
      </w:r>
    </w:p>
    <w:p w14:paraId="580DD5BB" w14:textId="470CAA53" w:rsidR="00225A77" w:rsidRDefault="00C76AB6" w:rsidP="00010A5C">
      <w:pPr>
        <w:pStyle w:val="SemEspaamento"/>
      </w:pPr>
      <w:r>
        <w:rPr>
          <w:noProof/>
        </w:rPr>
        <mc:AlternateContent>
          <mc:Choice Requires="wps">
            <w:drawing>
              <wp:anchor distT="0" distB="0" distL="114300" distR="114300" simplePos="0" relativeHeight="251699200" behindDoc="0" locked="0" layoutInCell="1" allowOverlap="1" wp14:anchorId="6F6BF978" wp14:editId="6B1C342C">
                <wp:simplePos x="0" y="0"/>
                <wp:positionH relativeFrom="column">
                  <wp:posOffset>1743880</wp:posOffset>
                </wp:positionH>
                <wp:positionV relativeFrom="paragraph">
                  <wp:posOffset>63819</wp:posOffset>
                </wp:positionV>
                <wp:extent cx="0" cy="3326053"/>
                <wp:effectExtent l="0" t="0" r="38100" b="27305"/>
                <wp:wrapNone/>
                <wp:docPr id="1227579197" name="Conector reto 13"/>
                <wp:cNvGraphicFramePr/>
                <a:graphic xmlns:a="http://schemas.openxmlformats.org/drawingml/2006/main">
                  <a:graphicData uri="http://schemas.microsoft.com/office/word/2010/wordprocessingShape">
                    <wps:wsp>
                      <wps:cNvCnPr/>
                      <wps:spPr>
                        <a:xfrm flipH="1">
                          <a:off x="0" y="0"/>
                          <a:ext cx="0" cy="3326053"/>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A99659" id="Conector reto 13"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3pt,5.05pt" to="137.3pt,2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" strokecolor="#4472c4 [3204]" strokeweight="1pt">
                <v:stroke joinstyle="miter"/>
              </v:line>
            </w:pict>
          </mc:Fallback>
        </mc:AlternateContent>
      </w:r>
      <w:r w:rsidR="00225A77" w:rsidRPr="00225A77">
        <w:t>Nessa direção, a responsabilidade subsidiária de uma sociedade de economia mista, tomadora de serviços, não decorre do simples inadimplemento das obrigações trabalhistas por parte do empregador (Súmula nº 331 do TST, item IV), dependendo da comprovação da conduta culposa no cumprimento das obrigações previstas nas normas de licitação, especialmente na fiscalização do cumprimento das obrigações contratuais e legais da prestadora de serviço como empregadora (Súmula nº 331 do TST, item V, que faz referência expressa aos entes integrantes da Administração Pública direta e indireta):</w:t>
      </w:r>
    </w:p>
    <w:p w14:paraId="7AA59687" w14:textId="05F55D41" w:rsidR="00225A77" w:rsidRDefault="00225A77" w:rsidP="00010A5C">
      <w:pPr>
        <w:pStyle w:val="SemEspaamento"/>
      </w:pPr>
      <w:r w:rsidRPr="00225A77">
        <w:t>(</w:t>
      </w:r>
      <w:r>
        <w:t>...</w:t>
      </w:r>
      <w:r w:rsidRPr="00225A77">
        <w:t>)</w:t>
      </w:r>
    </w:p>
    <w:p w14:paraId="0CD5A55A" w14:textId="682F5F06" w:rsidR="00225A77" w:rsidRPr="00311DF0" w:rsidRDefault="00010A5C" w:rsidP="00010A5C">
      <w:pPr>
        <w:pStyle w:val="SemEspaamento"/>
      </w:pPr>
      <w:r w:rsidRPr="00010A5C">
        <w:t>No caso concreto, o banco comprovou a fiscalização da empresa contratada (diversos documentos de fiscalização - fls. 180 e seguintes), </w:t>
      </w:r>
      <w:r w:rsidRPr="00987BBF">
        <w:rPr>
          <w:b/>
          <w:bCs/>
          <w:color w:val="1F3864" w:themeColor="accent1" w:themeShade="80"/>
        </w:rPr>
        <w:t>mesmo não sendo ônus processual seu, em consonância com a decisão vinculante do Supremo Tribunal Federal, que aprovou Tema nº 1118 da Repercussão Geral</w:t>
      </w:r>
      <w:r w:rsidRPr="00987BBF">
        <w:rPr>
          <w:color w:val="1F3864" w:themeColor="accent1" w:themeShade="80"/>
        </w:rPr>
        <w:t xml:space="preserve"> </w:t>
      </w:r>
      <w:r w:rsidRPr="00010A5C">
        <w:t>(leading case: RE 1298647), ipsis verbis:</w:t>
      </w:r>
    </w:p>
    <w:p w14:paraId="6E3E50D7" w14:textId="29FBCD40" w:rsidR="00311DF0" w:rsidRPr="00311DF0" w:rsidRDefault="00AE4FA1" w:rsidP="00ED642D">
      <w:pPr>
        <w:pStyle w:val="Ttulo1"/>
        <w:numPr>
          <w:ilvl w:val="2"/>
          <w:numId w:val="1"/>
        </w:numPr>
        <w:rPr>
          <w:bCs/>
          <w:i/>
          <w:iCs/>
          <w:sz w:val="24"/>
          <w:szCs w:val="24"/>
        </w:rPr>
      </w:pPr>
      <w:r w:rsidRPr="00311DF0">
        <w:rPr>
          <w:bCs/>
          <w:i/>
          <w:iCs/>
          <w:sz w:val="24"/>
          <w:szCs w:val="24"/>
        </w:rPr>
        <w:lastRenderedPageBreak/>
        <w:t xml:space="preserve">TRT 21ª - </w:t>
      </w:r>
      <w:r w:rsidR="003C12CB">
        <w:rPr>
          <w:bCs/>
          <w:i/>
          <w:iCs/>
          <w:sz w:val="24"/>
          <w:szCs w:val="24"/>
        </w:rPr>
        <w:t>2</w:t>
      </w:r>
      <w:r w:rsidR="00ED642D" w:rsidRPr="00311DF0">
        <w:rPr>
          <w:bCs/>
          <w:i/>
          <w:iCs/>
          <w:sz w:val="24"/>
          <w:szCs w:val="24"/>
        </w:rPr>
        <w:t>ª Turma</w:t>
      </w:r>
      <w:r w:rsidR="00ED642D">
        <w:rPr>
          <w:bCs/>
          <w:i/>
          <w:iCs/>
          <w:sz w:val="24"/>
          <w:szCs w:val="24"/>
        </w:rPr>
        <w:t xml:space="preserve"> </w:t>
      </w:r>
      <w:r w:rsidR="00ED642D" w:rsidRPr="00311DF0">
        <w:rPr>
          <w:bCs/>
          <w:i/>
          <w:iCs/>
          <w:sz w:val="24"/>
          <w:szCs w:val="24"/>
        </w:rPr>
        <w:t>Processo: 0000889-02.2023.5.21.0013 (Recurso Ordinário)</w:t>
      </w:r>
    </w:p>
    <w:p w14:paraId="67B0331A" w14:textId="79EA2D0F" w:rsidR="00311DF0" w:rsidRDefault="00311DF0" w:rsidP="00311DF0">
      <w:r w:rsidRPr="00311DF0">
        <w:t xml:space="preserve">Em decisão unânime, o Tribunal deu provimento ao recurso do Banco do Brasil e afastou sua responsabilidade, reconhecendo a inexistência de conduta culposa da tomadora, conforme exigido pelo STF nos </w:t>
      </w:r>
      <w:r w:rsidRPr="00311DF0">
        <w:rPr>
          <w:b/>
          <w:bCs/>
          <w:color w:val="1F3864" w:themeColor="accent1" w:themeShade="80"/>
        </w:rPr>
        <w:t>Temas 246 e 1118</w:t>
      </w:r>
      <w:r w:rsidRPr="00311DF0">
        <w:rPr>
          <w:color w:val="1F3864" w:themeColor="accent1" w:themeShade="80"/>
        </w:rPr>
        <w:t xml:space="preserve"> </w:t>
      </w:r>
      <w:r w:rsidRPr="00311DF0">
        <w:t>da Repercussão Geral.</w:t>
      </w:r>
    </w:p>
    <w:p w14:paraId="56429A99" w14:textId="4CEDA00F" w:rsidR="003C12CB" w:rsidRPr="00311DF0" w:rsidRDefault="00F017B0" w:rsidP="00F017B0">
      <w:pPr>
        <w:pStyle w:val="SemEspaamento"/>
      </w:pPr>
      <w:r>
        <w:rPr>
          <w:noProof/>
        </w:rPr>
        <mc:AlternateContent>
          <mc:Choice Requires="wps">
            <w:drawing>
              <wp:anchor distT="0" distB="0" distL="114300" distR="114300" simplePos="0" relativeHeight="251701248" behindDoc="0" locked="0" layoutInCell="1" allowOverlap="1" wp14:anchorId="421A14B3" wp14:editId="69A1A92C">
                <wp:simplePos x="0" y="0"/>
                <wp:positionH relativeFrom="column">
                  <wp:posOffset>1740022</wp:posOffset>
                </wp:positionH>
                <wp:positionV relativeFrom="paragraph">
                  <wp:posOffset>58542</wp:posOffset>
                </wp:positionV>
                <wp:extent cx="0" cy="2154476"/>
                <wp:effectExtent l="0" t="0" r="38100" b="36830"/>
                <wp:wrapNone/>
                <wp:docPr id="2067359126" name="Conector reto 13"/>
                <wp:cNvGraphicFramePr/>
                <a:graphic xmlns:a="http://schemas.openxmlformats.org/drawingml/2006/main">
                  <a:graphicData uri="http://schemas.microsoft.com/office/word/2010/wordprocessingShape">
                    <wps:wsp>
                      <wps:cNvCnPr/>
                      <wps:spPr>
                        <a:xfrm>
                          <a:off x="0" y="0"/>
                          <a:ext cx="0" cy="2154476"/>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A6647" id="Conector reto 1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pt,4.6pt" to="137pt,1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" strokecolor="#4472c4 [3204]" strokeweight="1pt">
                <v:stroke joinstyle="miter"/>
              </v:line>
            </w:pict>
          </mc:Fallback>
        </mc:AlternateContent>
      </w:r>
      <w:r w:rsidRPr="00F017B0">
        <w:t>Vale dizer, não cabe ao Litisconsorte produzir prova contra si mesmo, tampouco produzir prova de que fiscalizou o contrato (a fiscalização contratual recíproca pelas próprias partes contratantes é presunção juris tantum de execução de qualquer contrato havido entre contratante e contratado), mas sim CABE AO RECLAMANTE, no exercício de seu direito constitucional de prova e em relação aos seus títulos postulados em juízo (para provar fato constitutivo de seus direitos), </w:t>
      </w:r>
      <w:r w:rsidRPr="00F017B0">
        <w:rPr>
          <w:b/>
          <w:bCs/>
          <w:color w:val="1F3864" w:themeColor="accent1" w:themeShade="80"/>
        </w:rPr>
        <w:t>PROVAR OU EVIDENCIAR A CONDUTA CULPOSA DO LITISCONSORTE NO CUMPRIMENTO DAS OBRIGAÇÕES CONTIDAS NA LEI 8.666, de 21 de junho de 1993</w:t>
      </w:r>
      <w:r w:rsidRPr="00F017B0">
        <w:t>,nos autos da reclamatória trabalhista em que formula o pedido de responsabilização subsidiária da administração pública.</w:t>
      </w:r>
    </w:p>
    <w:p w14:paraId="6DA554F8" w14:textId="02F5B98E" w:rsidR="00311DF0" w:rsidRPr="00311DF0" w:rsidRDefault="00AE4FA1" w:rsidP="00526D26">
      <w:pPr>
        <w:pStyle w:val="Ttulo1"/>
        <w:numPr>
          <w:ilvl w:val="2"/>
          <w:numId w:val="1"/>
        </w:numPr>
        <w:rPr>
          <w:bCs/>
          <w:i/>
          <w:iCs/>
          <w:sz w:val="24"/>
          <w:szCs w:val="24"/>
        </w:rPr>
      </w:pPr>
      <w:r w:rsidRPr="00311DF0">
        <w:rPr>
          <w:bCs/>
          <w:i/>
          <w:iCs/>
          <w:sz w:val="24"/>
          <w:szCs w:val="24"/>
        </w:rPr>
        <w:t xml:space="preserve">TRT 21ª </w:t>
      </w:r>
      <w:r w:rsidR="00311DF0" w:rsidRPr="00311DF0">
        <w:rPr>
          <w:bCs/>
          <w:i/>
          <w:iCs/>
          <w:sz w:val="24"/>
          <w:szCs w:val="24"/>
        </w:rPr>
        <w:t>- 2ª Turma</w:t>
      </w:r>
      <w:r w:rsidR="00526D26">
        <w:rPr>
          <w:bCs/>
          <w:i/>
          <w:iCs/>
          <w:sz w:val="24"/>
          <w:szCs w:val="24"/>
        </w:rPr>
        <w:t xml:space="preserve"> </w:t>
      </w:r>
      <w:r w:rsidR="00311DF0" w:rsidRPr="00311DF0">
        <w:rPr>
          <w:bCs/>
          <w:i/>
          <w:iCs/>
          <w:sz w:val="24"/>
          <w:szCs w:val="24"/>
        </w:rPr>
        <w:t>Processo: 0000942-86.2023.5.21.0011 (Recurso Ordinário)</w:t>
      </w:r>
    </w:p>
    <w:p w14:paraId="30DBAB09" w14:textId="77777777" w:rsidR="009C0C5D" w:rsidRDefault="00311DF0" w:rsidP="009C0C5D">
      <w:r w:rsidRPr="00311DF0">
        <w:t xml:space="preserve">Ao analisar a responsabilidade subsidiária, a Turma considerou que o banco demonstrou a existência de mecanismos efetivos de fiscalização, </w:t>
      </w:r>
      <w:r w:rsidRPr="00311DF0">
        <w:rPr>
          <w:b/>
          <w:bCs/>
          <w:color w:val="1F3864" w:themeColor="accent1" w:themeShade="80"/>
        </w:rPr>
        <w:t>afastando a presunção de culpa</w:t>
      </w:r>
      <w:r w:rsidRPr="00311DF0">
        <w:t>. Aplicou-se a jurisprudência do STF que condiciona a responsabilização do ente da administração indireta à prova concreta de negligência.</w:t>
      </w:r>
    </w:p>
    <w:p w14:paraId="3DFFBED6" w14:textId="79620CB2" w:rsidR="00645A46" w:rsidRDefault="00645A46" w:rsidP="00645A46">
      <w:pPr>
        <w:pStyle w:val="SemEspaamento"/>
      </w:pPr>
      <w:r>
        <w:rPr>
          <w:noProof/>
        </w:rPr>
        <mc:AlternateContent>
          <mc:Choice Requires="wps">
            <w:drawing>
              <wp:anchor distT="0" distB="0" distL="114300" distR="114300" simplePos="0" relativeHeight="251703296" behindDoc="0" locked="0" layoutInCell="1" allowOverlap="1" wp14:anchorId="1892F6E5" wp14:editId="6BC1F56C">
                <wp:simplePos x="0" y="0"/>
                <wp:positionH relativeFrom="column">
                  <wp:posOffset>1747537</wp:posOffset>
                </wp:positionH>
                <wp:positionV relativeFrom="paragraph">
                  <wp:posOffset>44249</wp:posOffset>
                </wp:positionV>
                <wp:extent cx="0" cy="3888079"/>
                <wp:effectExtent l="0" t="0" r="38100" b="36830"/>
                <wp:wrapNone/>
                <wp:docPr id="177998206" name="Conector reto 13"/>
                <wp:cNvGraphicFramePr/>
                <a:graphic xmlns:a="http://schemas.openxmlformats.org/drawingml/2006/main">
                  <a:graphicData uri="http://schemas.microsoft.com/office/word/2010/wordprocessingShape">
                    <wps:wsp>
                      <wps:cNvCnPr/>
                      <wps:spPr>
                        <a:xfrm>
                          <a:off x="0" y="0"/>
                          <a:ext cx="0" cy="3888079"/>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790EFA" id="Conector reto 13"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6pt,3.5pt" to="137.6pt,3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" strokecolor="#4472c4 [3204]" strokeweight="1pt">
                <v:stroke joinstyle="miter"/>
              </v:line>
            </w:pict>
          </mc:Fallback>
        </mc:AlternateContent>
      </w:r>
      <w:r w:rsidRPr="00645A46">
        <w:t xml:space="preserve">E o Banco do Brasil, na condição de contratante, comprovou documentalmente a efetiva fiscalização da empresa contratada, por amostragem, quanto às obrigações trabalhistas, eximindo-se satisfatoriamente desse ônus processual, destacando-se que não está em causa o nexo de causalidade entre a conduta da litisconsorte e a mora trabalhista. </w:t>
      </w:r>
    </w:p>
    <w:p w14:paraId="64D5EDE2" w14:textId="3052F3DC" w:rsidR="00645A46" w:rsidRDefault="00645A46" w:rsidP="00645A46">
      <w:pPr>
        <w:pStyle w:val="SemEspaamento"/>
      </w:pPr>
      <w:r w:rsidRPr="00645A46">
        <w:t xml:space="preserve">Além disso, não há indícios de falha da litisconsorte na escolha da empresa prestadora de serviços, porque é presumível a realização de processo licitatório, o qual pressupõe a investigação preliminar da idoneidade financeira da contratada. </w:t>
      </w:r>
    </w:p>
    <w:p w14:paraId="303D5B12" w14:textId="1748F46E" w:rsidR="00526D26" w:rsidRDefault="00645A46" w:rsidP="00645A46">
      <w:pPr>
        <w:pStyle w:val="SemEspaamento"/>
      </w:pPr>
      <w:r w:rsidRPr="00645A46">
        <w:t xml:space="preserve">Cumpre observar que a tomadora de serviços não tem a obrigação de fiscalizar o cumprimento integral e individualizado das obrigações trabalhistas pertinentes a cada um dos empregados da prestadora de serviços. Se assim fosse, melhor seria a contratação direta, inviabilizando-se a terceirização de serviços, figura jurídica permitida pelo ordenamento jurídico brasileiro, conforme ampla fundamentação já exposta em linhas anteriores. Portanto, o que deve ser comprovado </w:t>
      </w:r>
      <w:r w:rsidRPr="00645A46">
        <w:lastRenderedPageBreak/>
        <w:t>é a fiscalização por amostragem do contrato firmado e, por isso, a documentação apresentada pela litisconsorte é suficiente para afastar a alegada culpa "in vigilando".</w:t>
      </w:r>
    </w:p>
    <w:p w14:paraId="04CDBB90" w14:textId="12DE9E42" w:rsidR="00037166" w:rsidRPr="00194210" w:rsidRDefault="009C0C5D" w:rsidP="009C0C5D">
      <w:r>
        <w:t xml:space="preserve">Ademais, o </w:t>
      </w:r>
      <w:r w:rsidR="00037166" w:rsidRPr="00194210">
        <w:t>C. TST, acolheu o Precedente Vinculante do E. STF e seu entendimento resta pacificada, corroborando os termos da presente defesa</w:t>
      </w:r>
      <w:r w:rsidR="006F1B22">
        <w:t>.</w:t>
      </w:r>
      <w:r w:rsidR="000B21F3">
        <w:t xml:space="preserve"> </w:t>
      </w:r>
      <w:r w:rsidR="006F1B22">
        <w:t>D</w:t>
      </w:r>
      <w:r w:rsidR="000B21F3">
        <w:t>estacamos também julgados que tratam do mesmo tema</w:t>
      </w:r>
      <w:r w:rsidR="00037166" w:rsidRPr="00194210">
        <w:t>:</w:t>
      </w:r>
    </w:p>
    <w:p w14:paraId="63A12A20" w14:textId="77777777" w:rsidR="00037166" w:rsidRPr="00194210" w:rsidRDefault="00037166" w:rsidP="00037166">
      <w:pPr>
        <w:pStyle w:val="SemEspaamento"/>
        <w:keepNext/>
        <w:framePr w:dropCap="drop" w:lines="2" w:wrap="around" w:vAnchor="text" w:hAnchor="text"/>
        <w:spacing w:after="0" w:line="593" w:lineRule="exact"/>
        <w:textAlignment w:val="baseline"/>
        <w:rPr>
          <w:position w:val="-4"/>
          <w:sz w:val="62"/>
        </w:rPr>
      </w:pPr>
      <w:r w:rsidRPr="00194210">
        <w:rPr>
          <w:position w:val="-4"/>
          <w:sz w:val="62"/>
        </w:rPr>
        <w:t>TST</w:t>
      </w:r>
    </w:p>
    <w:p w14:paraId="38D9EAE9" w14:textId="77777777" w:rsidR="00037166" w:rsidRDefault="00037166" w:rsidP="00037166">
      <w:pPr>
        <w:pStyle w:val="SemEspaamento"/>
      </w:pPr>
      <w:r w:rsidRPr="00194210">
        <w:rPr>
          <w:noProof/>
        </w:rPr>
        <mc:AlternateContent>
          <mc:Choice Requires="wps">
            <w:drawing>
              <wp:anchor distT="0" distB="0" distL="114300" distR="114300" simplePos="0" relativeHeight="251695104" behindDoc="1" locked="0" layoutInCell="1" allowOverlap="1" wp14:anchorId="1154A7DF" wp14:editId="77B8D9F8">
                <wp:simplePos x="0" y="0"/>
                <wp:positionH relativeFrom="column">
                  <wp:posOffset>1746885</wp:posOffset>
                </wp:positionH>
                <wp:positionV relativeFrom="paragraph">
                  <wp:posOffset>3810</wp:posOffset>
                </wp:positionV>
                <wp:extent cx="6737350" cy="609600"/>
                <wp:effectExtent l="0" t="0" r="25400" b="19050"/>
                <wp:wrapNone/>
                <wp:docPr id="237969949"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CB19FA" id="Retângulo: Cantos Arredondados 5" o:spid="_x0000_s1026" style="position:absolute;margin-left:137.55pt;margin-top:.3pt;width:530.5pt;height:48pt;z-index:-251621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" fillcolor="#8eaadb [1940]" strokecolor="white [3212]" strokeweight="1pt">
                <v:stroke joinstyle="miter"/>
              </v:roundrect>
            </w:pict>
          </mc:Fallback>
        </mc:AlternateContent>
      </w:r>
      <w:r w:rsidRPr="00194210">
        <w:t xml:space="preserve"> I - AGRAVO DO INSTITUTO FEDERAL DE EDUCAÇÃO DO RIO GRANDE DO SUL. AGRAVO DE INSTRUMENTO EM RECURSO DE REVISTA. RECURSO DE REVISTAINTERPOSTO SOB A ÉGIDE DA LEI Nº 13.467/2017. RESPONSABILIDADE SUBSIDIÁRIA. TOMADOR DOS SERVIÇOS. ENTE PÚBLICO. TRANSCENDÊNCIA RECONHECIDA. CULPA IN VIGILANDO NÃO CARACTERIZADA. CONDENAÇÃO INDEVIDA. Ante as razões apresentadas pelo agravante, afasta-se o óbice oposto no despacho agravado. Agravo conhecido e provido. II - AGRAVO DE INSTRUMENTO EM RECURSO DE REVISTA. RECURSO DE REVISTA INTERPOSTO SOB A ÉGIDE DA LEI Nº 13.467/2017. RESPONSABILIDADE SUBSIDIÁRIA. TOMADOR DOS SERVIÇOS. ENTE PÚBLICO. CULPA IN VIGILANDO NÃO CARACTERIZADA. CONDENAÇÃO INDEVIDA. 1. Decisão regional em que reconhecida a responsabilidade subsidiária do ente público de forma automática. 2. Nesse contexto, constata-se possível violação do art. 71, § 1º, da Lei 8.666/93, nos moldes do art. 896 da CLT, a ensejar a admissão do recurso de revista. Agravo de instrumento conhecido e provido. III - RECURSO DE REVISTA. RECURSO DE REVISTA INTERPOSTO SOB A ÉGIDE DA LEI Nº 13.467/2017. RESPONSABILIDADE SUBSIDIÁRIA. TOMADOR DOS SERVIÇOS. ENTE PÚBLICO. CULPA IN VIGILANDO NÃO CARACTERIZADA. CONDENAÇÃO INDEVIDA. 1. No julgamento da ADC 16 o STF pronunciou a constitucionalidade do art. 71, caput e § 1º, da Lei 8.666/93, pronúncia dotada de efeito vinculante e eficácia contra todos. 2. Ao julgamento do Tema 246 de repercussão geral, o Supremo Tribunal Federal reafirmou sua jurisprudência, fixando tese no sentido de que "O inadimplemento dos encargos trabalhistas dos empregados do contratado não transfere automaticamente ao Poder Público contratante a responsabilidade pelo seu pagamento, seja em caráter solidário ou subsidiário, nos termos do art. 71, § 1º, da Lei nº 8.666/93". 3. Tendo em vista as decisões proferidas pelo Supremo Tribunal Federal, constata-se não ser possível a condenação automática do ente público, pautada na mera inadimplência das verbas trabalhistas. Nada obstante, observa-se que o Supremo Tribunal Federal não excluiu a possibilidade de a Justiça do Trabalho, com base nos fatos da causa, determinar a responsabilidade do sujeito público tomador de serviços continuados em cadeia de terceirização quando constatada sua </w:t>
      </w:r>
      <w:r w:rsidRPr="00194210">
        <w:lastRenderedPageBreak/>
        <w:t xml:space="preserve">conduta culposa. 4. No caso, constata-se da decisão recorrida que o ente público logrou demonstrar que houve fiscalização do contrato, ainda que as medidas tomadas não tenham sido suficientes a impedir o inadimplemento das verbas rescisórias. </w:t>
      </w:r>
      <w:r w:rsidRPr="00194210">
        <w:rPr>
          <w:b/>
          <w:bCs/>
          <w:color w:val="1F3864" w:themeColor="accent1" w:themeShade="80"/>
        </w:rPr>
        <w:t>Exigir que a fiscalização seja tão eficaz a ponto de impedir o inadimplemento de qualquer crédito dos trabalhadores é, na prática, imputar à Administração responsabilidade irrestrita por qualquer irregularidade que possa ocorrer, o que não se permite. Nessa medida, inviável a condenação da tomadora dos serviços. 5. Configurada a violação do art. 71, § 1º, da Lei 8.666/93. Recurso de revista conhecido e provido.</w:t>
      </w:r>
      <w:r w:rsidRPr="00194210">
        <w:t xml:space="preserve"> (TST - RRAg: 00223007720165040512, Relator: Hugo Carlos Scheuermann, Data de Julgamento: 31/08/2022, 1ª Turma, Data de Publicação: 02/09/2022).</w:t>
      </w:r>
    </w:p>
    <w:p w14:paraId="58A918FA" w14:textId="29D9643C" w:rsidR="00C739B5" w:rsidRDefault="00B52593" w:rsidP="00B52593">
      <w:pPr>
        <w:pStyle w:val="SemEspaamento"/>
        <w:ind w:left="0"/>
      </w:pPr>
      <w:r w:rsidRPr="00194210">
        <w:rPr>
          <w:noProof/>
        </w:rPr>
        <mc:AlternateContent>
          <mc:Choice Requires="wps">
            <w:drawing>
              <wp:anchor distT="0" distB="0" distL="114300" distR="114300" simplePos="0" relativeHeight="251706368" behindDoc="1" locked="0" layoutInCell="1" allowOverlap="1" wp14:anchorId="21614D1E" wp14:editId="55740876">
                <wp:simplePos x="0" y="0"/>
                <wp:positionH relativeFrom="column">
                  <wp:posOffset>1752444</wp:posOffset>
                </wp:positionH>
                <wp:positionV relativeFrom="paragraph">
                  <wp:posOffset>290195</wp:posOffset>
                </wp:positionV>
                <wp:extent cx="6737350" cy="609600"/>
                <wp:effectExtent l="0" t="0" r="25400" b="19050"/>
                <wp:wrapNone/>
                <wp:docPr id="849194414"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8C2242" id="Retângulo: Cantos Arredondados 5" o:spid="_x0000_s1026" style="position:absolute;margin-left:138pt;margin-top:22.85pt;width:530.5pt;height:48pt;z-index:-251610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" fillcolor="#8eaadb [1940]" strokecolor="white [3212]" strokeweight="1pt">
                <v:stroke joinstyle="miter"/>
              </v:roundrect>
            </w:pict>
          </mc:Fallback>
        </mc:AlternateContent>
      </w:r>
    </w:p>
    <w:p w14:paraId="40BBBA51" w14:textId="3BB4AD49" w:rsidR="00B52593" w:rsidRPr="00B52593" w:rsidRDefault="00B52593" w:rsidP="00B52593">
      <w:pPr>
        <w:pStyle w:val="SemEspaamento"/>
        <w:keepNext/>
        <w:framePr w:dropCap="drop" w:lines="2" w:wrap="around" w:vAnchor="text" w:hAnchor="text"/>
        <w:spacing w:after="0" w:line="593" w:lineRule="exact"/>
        <w:textAlignment w:val="baseline"/>
        <w:rPr>
          <w:position w:val="-5"/>
          <w:sz w:val="65"/>
        </w:rPr>
      </w:pPr>
      <w:r w:rsidRPr="00B52593">
        <w:rPr>
          <w:position w:val="-5"/>
          <w:sz w:val="65"/>
        </w:rPr>
        <w:t>T</w:t>
      </w:r>
      <w:r>
        <w:rPr>
          <w:position w:val="-5"/>
          <w:sz w:val="65"/>
        </w:rPr>
        <w:t>RT 20</w:t>
      </w:r>
    </w:p>
    <w:p w14:paraId="521EF22A" w14:textId="01B5786B" w:rsidR="00C739B5" w:rsidRDefault="00C739B5" w:rsidP="00037166">
      <w:pPr>
        <w:pStyle w:val="SemEspaamento"/>
      </w:pPr>
      <w:r w:rsidRPr="00C739B5">
        <w:t xml:space="preserve">RECURSO ORDINÁRIO DA SEGUNDA RECLAMADA. RESPONSABILIDADE SUBSIDIÁRIA DA ADMINISTRAÇÃO PÚBLICA. TESE FIXADA PELO STF NO TEMA 1.118 DE REPERCUSSÃO GERAL. Embora este Relator entenda que a prova da omissão da Administração Pública na fiscalização do contrato de terceirização seja excessivamente difícil para o trabalhador, o STF, ao julgar o Tema 1.118 de repercussão geral, consolidou o entendimento de que cabe ao empregado demonstrar a conduta negligente do ente público. Diante da obrigatoriedade de observância da uniformização jurisprudencial firmada pelo STF, impõe-se o afastamento da responsabilidade subsidiária da EBSERH no caso concreto, mormente no caso dos autos em que há documento de fiscalização do contrato mantido com a 1ª Reclamada. RECURSO ORDINÁRIO DO RECLAMANTE. REGIME 12X36 EM AMBIENTE INSALUBRE. VALIDADE. DESPROVIMENTO. Considerando que o parágrafo único do art. 60 da CLT prevê a possibilidade de adoção da jornada em regime de escala de 12x36 em ambiente insalubre, mantém-se a sentença que validou a referida jornada. [Tribunal Regional do Trabalho da 20ª Região (Primeira Turma). Acórdão: 0000876-57.2023.5.20.0004. Relator (a): THENISSON SANTANA DÓRIA. Data de julgamento: 11/04/2025. Juntado aos autos em 14/04/2025. </w:t>
      </w:r>
    </w:p>
    <w:p w14:paraId="5C42A65C" w14:textId="59017F72" w:rsidR="00B52593" w:rsidRDefault="00B52593" w:rsidP="00037166">
      <w:pPr>
        <w:pStyle w:val="SemEspaamento"/>
      </w:pPr>
      <w:r w:rsidRPr="00194210">
        <w:rPr>
          <w:noProof/>
        </w:rPr>
        <mc:AlternateContent>
          <mc:Choice Requires="wps">
            <w:drawing>
              <wp:anchor distT="0" distB="0" distL="114300" distR="114300" simplePos="0" relativeHeight="251708416" behindDoc="1" locked="0" layoutInCell="1" allowOverlap="1" wp14:anchorId="3BFC6D20" wp14:editId="5A0124E0">
                <wp:simplePos x="0" y="0"/>
                <wp:positionH relativeFrom="column">
                  <wp:posOffset>1717938</wp:posOffset>
                </wp:positionH>
                <wp:positionV relativeFrom="paragraph">
                  <wp:posOffset>269935</wp:posOffset>
                </wp:positionV>
                <wp:extent cx="6737350" cy="609600"/>
                <wp:effectExtent l="0" t="0" r="25400" b="19050"/>
                <wp:wrapNone/>
                <wp:docPr id="1008329468"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EB6B6E" id="Retângulo: Cantos Arredondados 5" o:spid="_x0000_s1026" style="position:absolute;margin-left:135.25pt;margin-top:21.25pt;width:530.5pt;height:48pt;z-index:-251608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" fillcolor="#8eaadb [1940]" strokecolor="white [3212]" strokeweight="1pt">
                <v:stroke joinstyle="miter"/>
              </v:roundrect>
            </w:pict>
          </mc:Fallback>
        </mc:AlternateContent>
      </w:r>
    </w:p>
    <w:p w14:paraId="10B8F030" w14:textId="551ED03D" w:rsidR="00B52593" w:rsidRPr="00B52593" w:rsidRDefault="00B52593" w:rsidP="00B52593">
      <w:pPr>
        <w:pStyle w:val="SemEspaamento"/>
        <w:keepNext/>
        <w:framePr w:dropCap="drop" w:lines="2" w:wrap="around" w:vAnchor="text" w:hAnchor="text"/>
        <w:spacing w:after="0" w:line="593" w:lineRule="exact"/>
        <w:textAlignment w:val="baseline"/>
        <w:rPr>
          <w:position w:val="-5"/>
          <w:sz w:val="65"/>
        </w:rPr>
      </w:pPr>
      <w:r w:rsidRPr="00B52593">
        <w:rPr>
          <w:position w:val="-5"/>
          <w:sz w:val="65"/>
        </w:rPr>
        <w:t>T</w:t>
      </w:r>
      <w:r>
        <w:rPr>
          <w:position w:val="-5"/>
          <w:sz w:val="65"/>
        </w:rPr>
        <w:t>RT 21</w:t>
      </w:r>
    </w:p>
    <w:p w14:paraId="4E3B47F8" w14:textId="3688786C" w:rsidR="00335CDE" w:rsidRDefault="007F3E3A" w:rsidP="00B52593">
      <w:pPr>
        <w:pStyle w:val="SemEspaamento"/>
      </w:pPr>
      <w:r w:rsidRPr="007F3E3A">
        <w:t xml:space="preserve">RESPONSABILIDADE SUBSIDIÁRIA - TERCEIRIZAÇÃO - SOCIEDADE DE ECONOMIA MISTA - SÚMULA Nº 331 DO TST, ITEM V - A responsabilidade subsidiária de uma sociedade de economia mista, tomadora de serviços, não decorre do simples inadimplemento das obrigações trabalhistas por parte do empregador (Súmula nº 331 do TST, item IV), dependendo da comprovação da conduta culposa no cumprimento das obrigações previstas nas normas de licitação, especialmente na fiscalização do cumprimento das obrigações </w:t>
      </w:r>
      <w:r w:rsidRPr="007F3E3A">
        <w:lastRenderedPageBreak/>
        <w:t>contratuais e legais da prestadora de serviço como empregadora (Súmula nº 331 do TST, item V). Logo, não prospera a argumentação recursal no sentido de que o Banco do Brasil (sociedade de economia mista) deveria, na qualidade de tomador de serviços, ser responsabilizado subsidiariamente pelo mero inadimplemento das obrigações trabalhistas assumidas pela empresa terceirizada. Recurso conhecido e não provido. Tribunal Regional do Trabalho da 21ª Região (Segunda Turma de Julgamento). Acórdão: 0000720-81.2024.5.21.0012. Relator (a): JOSÉ BARBOSA FILHO. Data de julgamento: 23/04/2025. Juntado aos autos em 24/04/2025.</w:t>
      </w:r>
    </w:p>
    <w:p w14:paraId="1065122C" w14:textId="77777777" w:rsidR="0029030F" w:rsidRPr="00194210" w:rsidRDefault="0029030F" w:rsidP="00F22C77"/>
    <w:p w14:paraId="0EF303B8" w14:textId="5DCD246A" w:rsidR="00C73B07" w:rsidRPr="00194210" w:rsidRDefault="00C73B07" w:rsidP="00AF7E71">
      <w:pPr>
        <w:pStyle w:val="Ttulo1"/>
      </w:pPr>
      <w:r w:rsidRPr="00194210">
        <w:t>DA LIMITAÇÃO DA EVENTUAL CONDENAÇÃO</w:t>
      </w:r>
    </w:p>
    <w:p w14:paraId="55FE21C5" w14:textId="6FB882EC" w:rsidR="00C73B07" w:rsidRPr="00194210" w:rsidRDefault="00CE4782" w:rsidP="000053EE">
      <w:r w:rsidRPr="00194210">
        <w:t>A parte reclamante faz pedido de pagamentos em quantia certa, quantia essa apontado na causa como valor na inicial. Por tal motivo, havendo condenação, o que só se admite por argumentação, a reclamada pede que, ao serem liquidados, os valores fiquem adstritos aos valores fixados pelo Juízo, em consonância com os termos decididos</w:t>
      </w:r>
      <w:r w:rsidR="000B59DF" w:rsidRPr="00194210">
        <w:t>, v</w:t>
      </w:r>
      <w:r w:rsidRPr="00194210">
        <w:t>eja se:</w:t>
      </w:r>
    </w:p>
    <w:p w14:paraId="06AC732F" w14:textId="28A9F0CB" w:rsidR="00AF7E71" w:rsidRPr="00194210" w:rsidRDefault="00AF7E71" w:rsidP="00AF7E71">
      <w:pPr>
        <w:pStyle w:val="SemEspaamento"/>
        <w:keepNext/>
        <w:framePr w:dropCap="drop" w:lines="2" w:wrap="around" w:vAnchor="text" w:hAnchor="text"/>
        <w:spacing w:after="0" w:line="593" w:lineRule="exact"/>
        <w:textAlignment w:val="baseline"/>
        <w:rPr>
          <w:position w:val="-5"/>
          <w:sz w:val="65"/>
        </w:rPr>
      </w:pPr>
      <w:r w:rsidRPr="00194210">
        <w:rPr>
          <w:position w:val="-5"/>
          <w:sz w:val="65"/>
        </w:rPr>
        <w:t>TR</w:t>
      </w:r>
      <w:r w:rsidR="00612A58" w:rsidRPr="00194210">
        <w:rPr>
          <w:position w:val="-5"/>
          <w:sz w:val="65"/>
        </w:rPr>
        <w:t>T-23</w:t>
      </w:r>
    </w:p>
    <w:p w14:paraId="04775F5B" w14:textId="0B03E5AB" w:rsidR="00C73B07" w:rsidRPr="00194210" w:rsidRDefault="00DA3449" w:rsidP="00AF7E71">
      <w:pPr>
        <w:pStyle w:val="SemEspaamento"/>
      </w:pPr>
      <w:r w:rsidRPr="00194210">
        <w:rPr>
          <w:noProof/>
        </w:rPr>
        <mc:AlternateContent>
          <mc:Choice Requires="wps">
            <w:drawing>
              <wp:anchor distT="0" distB="0" distL="114300" distR="114300" simplePos="0" relativeHeight="251667456" behindDoc="1" locked="0" layoutInCell="1" allowOverlap="1" wp14:anchorId="67C2A969" wp14:editId="2C7D2ED0">
                <wp:simplePos x="0" y="0"/>
                <wp:positionH relativeFrom="column">
                  <wp:posOffset>1748155</wp:posOffset>
                </wp:positionH>
                <wp:positionV relativeFrom="paragraph">
                  <wp:posOffset>-2540</wp:posOffset>
                </wp:positionV>
                <wp:extent cx="6737350" cy="609600"/>
                <wp:effectExtent l="0" t="0" r="25400" b="19050"/>
                <wp:wrapNone/>
                <wp:docPr id="269649309"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F282F8" id="Retângulo: Cantos Arredondados 5" o:spid="_x0000_s1026" style="position:absolute;margin-left:137.65pt;margin-top:-.2pt;width:530.5pt;height:48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" fillcolor="#8eaadb [1940]" strokecolor="white [3212]" strokeweight="1pt">
                <v:stroke joinstyle="miter"/>
              </v:roundrect>
            </w:pict>
          </mc:Fallback>
        </mc:AlternateContent>
      </w:r>
      <w:r w:rsidR="00CE4782" w:rsidRPr="00194210">
        <w:t>ADICIONAL POR TEMPO DE SERVIÇO. LIMITAÇÃO AO VALOR CONSTANTE DA INICIAL. A teor do que dispõem os arts. 141 e 492 do CPC, os limites da lide são definidos pela causa de pedir e pelo pedido, dos quais não pode o julgador se afastar, sob pena de violar o princípio da adstrição. Assim, considerando que a importância da verba adicional por tempo de serviço é superior àquela mencionada na inicial, na qual contém inclusive demonstração didática da forma como o Autor chegou ao valor citado, impõe-se determinar a retificação dos cálculos de liquidação a fim de que o débito da referida verba fique limitado ao valor expresso na peça de introito. Dá-se provimento ao Recurso Ordinário da Ré, no particular. (TRT 23, RO 0000026 32.2017.5.23.0003, Primeira Turma, Rel. Des. Bruno Luiz Weiler Siqueira, DJe 21/jan/2019)</w:t>
      </w:r>
    </w:p>
    <w:p w14:paraId="6310DFC7" w14:textId="77777777" w:rsidR="00CE4782" w:rsidRPr="00194210" w:rsidRDefault="00CE4782" w:rsidP="00AF7E71">
      <w:pPr>
        <w:pStyle w:val="SemEspaamento"/>
      </w:pPr>
    </w:p>
    <w:p w14:paraId="60D55938" w14:textId="0C48249D" w:rsidR="00612A58" w:rsidRPr="00194210" w:rsidRDefault="00612A58" w:rsidP="00612A58">
      <w:pPr>
        <w:pStyle w:val="SemEspaamento"/>
        <w:keepNext/>
        <w:framePr w:dropCap="drop" w:lines="2" w:wrap="around" w:vAnchor="text" w:hAnchor="text"/>
        <w:spacing w:after="0" w:line="593" w:lineRule="exact"/>
        <w:textAlignment w:val="baseline"/>
        <w:rPr>
          <w:position w:val="-5"/>
          <w:sz w:val="65"/>
        </w:rPr>
      </w:pPr>
      <w:r w:rsidRPr="00194210">
        <w:rPr>
          <w:position w:val="-5"/>
          <w:sz w:val="65"/>
        </w:rPr>
        <w:t>TRT-3</w:t>
      </w:r>
    </w:p>
    <w:p w14:paraId="70F60F3D" w14:textId="1C73FEDC" w:rsidR="00CE4782" w:rsidRPr="00194210" w:rsidRDefault="00DA3449" w:rsidP="00CE4782">
      <w:pPr>
        <w:pStyle w:val="SemEspaamento"/>
      </w:pPr>
      <w:r w:rsidRPr="00194210">
        <w:rPr>
          <w:noProof/>
        </w:rPr>
        <mc:AlternateContent>
          <mc:Choice Requires="wps">
            <w:drawing>
              <wp:anchor distT="0" distB="0" distL="114300" distR="114300" simplePos="0" relativeHeight="251669504" behindDoc="1" locked="0" layoutInCell="1" allowOverlap="1" wp14:anchorId="2BE9892E" wp14:editId="786B90DC">
                <wp:simplePos x="0" y="0"/>
                <wp:positionH relativeFrom="column">
                  <wp:posOffset>1694180</wp:posOffset>
                </wp:positionH>
                <wp:positionV relativeFrom="paragraph">
                  <wp:posOffset>6350</wp:posOffset>
                </wp:positionV>
                <wp:extent cx="6737350" cy="609600"/>
                <wp:effectExtent l="0" t="0" r="25400" b="19050"/>
                <wp:wrapNone/>
                <wp:docPr id="257242823"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771AC3" id="Retângulo: Cantos Arredondados 5" o:spid="_x0000_s1026" style="position:absolute;margin-left:133.4pt;margin-top:.5pt;width:530.5pt;height:48pt;z-index:-251646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" fillcolor="#8eaadb [1940]" strokecolor="white [3212]" strokeweight="1pt">
                <v:stroke joinstyle="miter"/>
              </v:roundrect>
            </w:pict>
          </mc:Fallback>
        </mc:AlternateContent>
      </w:r>
      <w:r w:rsidR="00CE4782" w:rsidRPr="00194210">
        <w:t xml:space="preserve"> “2. Limitação da condenação aos valores atribuídos na inicial. Superada a preliminar de inépcia da inicial, a reclamada requer que a liquidação do julgado fique adstrita aos valores atribuídos na petição inicial, sob pena de ofensa ao art. 840, § 1º da CLT. Ao exame. Com a entrada em vigor da Lei 13.467/2017 (Reforma Trabalhista), o art. 840, § 1º, da CLT passou a exigir, no rito ordinário, que o pedido seja certo, determinado e com indicação de seu valor, como já ocorria no rito sumaríssimo (art. 852-B, I, da CLT), e em conformidade com as regras do direito processual civil (art. 291 e 319, V, do CPC/15). Referida alteração teve por escopo garantir a boa-fé processual e contribuir para a celeridade processual, com a prévia </w:t>
      </w:r>
      <w:r w:rsidR="00CE4782" w:rsidRPr="00194210">
        <w:lastRenderedPageBreak/>
        <w:t>liquidação dos pedidos. Assim, para as ações ajuizadas após 11/11/2017 (data da entrada em vigor da referida Lei 13.467/2017), caso dos autos, a indicação dos valores contida na inicial serve como limite para eventual condenação, o que deve ser observado na fase de liquidação. Esclareço que os limites impostos na exordial incidem tão somente sobre a liquidação dos pedidos, não abrangendo a correção monetária e os juros, inexistindo, pois, prejuízo ao reclamante por eventual demora no trânsito em julgado da demanda. Nesse sentido vem decidindo este Relator, como se observa dos seguintes julgados: 0010389-20.2018.5.03.0094-RO (Disponibilização: 07/08/2019); 0010554-82.2018.5.03.0089- RO (Disponibilização: 31/07/2019). Ressalto, ainda, que, no presente caso, o autor apresentou de forma clara seus pedidos, baseados em condições objetivas e facilmente calculáveis, pelo que não se aplicaria, eventualmente, o disposto no art. 324, § 1º, do CPC/15, que trata da possibilidade de se formular pedido genérico. Ante o exposto, dou provimento, para determinar que a condenação seja limitada aos valores contidos na inicial, sem prejuízo da incidência de juros e correção monetária” (TRT 3, RO 0010708-65.2021.5.03.0099, Quinta Turma, Rel. Des. Paulo Maurício Ribeiro Pires, julg. 09/mar/2022)</w:t>
      </w:r>
    </w:p>
    <w:p w14:paraId="3B2345E4" w14:textId="54609938" w:rsidR="00CE4782" w:rsidRPr="00194210" w:rsidRDefault="00CE4782" w:rsidP="005F2926">
      <w:r w:rsidRPr="00194210">
        <w:t xml:space="preserve">Em reforço, o Regional Catarinense já até sumulou essa limitação no julgamento do </w:t>
      </w:r>
      <w:r w:rsidRPr="00194210">
        <w:rPr>
          <w:b/>
          <w:bCs/>
          <w:color w:val="1F3864" w:themeColor="accent1" w:themeShade="80"/>
        </w:rPr>
        <w:t>IRDR 0000323-49.2020.5.12.0000, que gerou a súmula</w:t>
      </w:r>
      <w:r w:rsidRPr="00194210">
        <w:t>:</w:t>
      </w:r>
    </w:p>
    <w:p w14:paraId="685B5F77" w14:textId="4C3E0868" w:rsidR="00CE4782" w:rsidRPr="00194210" w:rsidRDefault="005F2926" w:rsidP="005F2926">
      <w:pPr>
        <w:pStyle w:val="SemEspaamento"/>
      </w:pPr>
      <w:r w:rsidRPr="00194210">
        <w:t>Tese Jurídica n. 06 - “os valores indicados aos pedidos constantes da petição inicial limitam o montante a ser auferido em eventual condenação</w:t>
      </w:r>
    </w:p>
    <w:p w14:paraId="5F9576FA" w14:textId="7328EFAB" w:rsidR="00C73B07" w:rsidRPr="00194210" w:rsidRDefault="005F2926" w:rsidP="002A3688">
      <w:r w:rsidRPr="00194210">
        <w:t>Requer-se, portanto, manifestação específica sobre a matéria, para fins de prequestionamento, bem como seja acolhido o presente tópico de modo que eventual condenação, após a feitura dos cálculos com base nessa, seja limitada aos valores indicados na petição inicial.</w:t>
      </w:r>
    </w:p>
    <w:p w14:paraId="78BCF3A2" w14:textId="77777777" w:rsidR="00E873A7" w:rsidRPr="00194210" w:rsidRDefault="00E873A7" w:rsidP="002A3688"/>
    <w:p w14:paraId="165510DC" w14:textId="0ABA52C7" w:rsidR="005F2926" w:rsidRPr="00194210" w:rsidRDefault="005F2926" w:rsidP="002D2644">
      <w:pPr>
        <w:pStyle w:val="Ttulo1"/>
      </w:pPr>
      <w:r w:rsidRPr="00194210">
        <w:t>IMPUGNAÇÃO DOS VALORES APRESENTADOS</w:t>
      </w:r>
    </w:p>
    <w:p w14:paraId="06A7FCC8" w14:textId="2F77BE79" w:rsidR="005F2926" w:rsidRPr="00194210" w:rsidRDefault="005F2926" w:rsidP="002D2644">
      <w:r w:rsidRPr="00194210">
        <w:t>A refutação dos valores apresentados pela parte reclamante dá-se de forma integral, já que não concorda a reclamada com o pagamento de quaisquer das verbas indicadas na peça vestibular, por improcedência.</w:t>
      </w:r>
    </w:p>
    <w:p w14:paraId="01CA8BF4" w14:textId="300E5F1F" w:rsidR="005F2926" w:rsidRPr="00194210" w:rsidRDefault="00CC505C" w:rsidP="002D2644">
      <w:r w:rsidRPr="00194210">
        <w:t>Impugna a reclamada os valores estimados apresentados pela parte reclamante por estarem majorados e não condizer com a realidade funcional.</w:t>
      </w:r>
    </w:p>
    <w:p w14:paraId="09F4E67E" w14:textId="6566B605" w:rsidR="00CC505C" w:rsidRPr="00194210" w:rsidRDefault="00CC505C" w:rsidP="002D2644">
      <w:r w:rsidRPr="00194210">
        <w:t>Aderem-se à presente impugnação as alegações já tecidas acima.</w:t>
      </w:r>
    </w:p>
    <w:p w14:paraId="34EBE4EA" w14:textId="3590F6A2" w:rsidR="00CC505C" w:rsidRPr="00194210" w:rsidRDefault="00CC505C" w:rsidP="002D2644">
      <w:r w:rsidRPr="00194210">
        <w:lastRenderedPageBreak/>
        <w:t>O BANCO não reconhece nenhum dos valores apresentados pois a parte reclamante percebeu os valores conforme ocorrências funcionais.</w:t>
      </w:r>
    </w:p>
    <w:p w14:paraId="72379E68" w14:textId="052063F2" w:rsidR="00CC505C" w:rsidRPr="00194210" w:rsidRDefault="00CC505C" w:rsidP="002D2644">
      <w:r w:rsidRPr="00194210">
        <w:t>Por essas razões, ficam expressamente IMPUGNADOS os valores informados na inicial, de forma que eventual condenação será apurada em regular liquidação de sentença, inclusive com a compensação dos valores já percebidos no curso do contrato de trabalho, a mesmo título.</w:t>
      </w:r>
    </w:p>
    <w:p w14:paraId="78BE95FF" w14:textId="301F8AB9" w:rsidR="00CC505C" w:rsidRPr="00194210" w:rsidRDefault="00CC505C" w:rsidP="002D2644">
      <w:r w:rsidRPr="00194210">
        <w:t>Considerando entendimento diverso do Juízo, decidindo pelo deferimento dos pedidos deverá ser determinada a dedução diante do montante já remunerado das parcelas percebidas a mesmo título, inclusive parcelas eventualmente deferidas em outras reclamatórias.</w:t>
      </w:r>
    </w:p>
    <w:p w14:paraId="0E1565EA" w14:textId="77777777" w:rsidR="00D42906" w:rsidRPr="00194210" w:rsidRDefault="00D42906" w:rsidP="001E07ED">
      <w:pPr>
        <w:pStyle w:val="SemEspaamento"/>
        <w:ind w:left="0"/>
      </w:pPr>
    </w:p>
    <w:p w14:paraId="7D3FF94A" w14:textId="448B188F" w:rsidR="00946269" w:rsidRPr="00194210" w:rsidRDefault="002070B6" w:rsidP="002070B6">
      <w:pPr>
        <w:pStyle w:val="Ttulo1"/>
      </w:pPr>
      <w:r w:rsidRPr="00194210">
        <w:t>CONCLUSÕES E REQUERIMENTOS</w:t>
      </w:r>
    </w:p>
    <w:p w14:paraId="52BC1811" w14:textId="20465BEB" w:rsidR="002070B6" w:rsidRPr="00194210" w:rsidRDefault="002070B6" w:rsidP="00655F68">
      <w:r w:rsidRPr="00194210">
        <w:t xml:space="preserve">Com a respeitabilidade ínsita e ressalvando as informações esclarecidas, requer, a </w:t>
      </w:r>
      <w:r w:rsidRPr="00194210">
        <w:rPr>
          <w:b/>
          <w:bCs/>
          <w:color w:val="1F3864" w:themeColor="accent1" w:themeShade="80"/>
        </w:rPr>
        <w:t xml:space="preserve">Improcedência dos pedidos em relação </w:t>
      </w:r>
      <w:r w:rsidR="003B52E2" w:rsidRPr="00194210">
        <w:rPr>
          <w:b/>
          <w:bCs/>
          <w:color w:val="1F3864" w:themeColor="accent1" w:themeShade="80"/>
        </w:rPr>
        <w:t>ao Banco do Brasil</w:t>
      </w:r>
      <w:r w:rsidRPr="00194210">
        <w:t>, com a consequente condenação ao pagamento de honorários de sucumbência e custas processuais.</w:t>
      </w:r>
    </w:p>
    <w:p w14:paraId="3723861F" w14:textId="3FC178CC" w:rsidR="00AD353C" w:rsidRPr="00194210" w:rsidRDefault="00AD353C" w:rsidP="00655F68">
      <w:r w:rsidRPr="00194210">
        <w:t>Em caso de entendimento diverso, que a responsabilidade seja subsidiária</w:t>
      </w:r>
      <w:r w:rsidR="00B71328" w:rsidRPr="00194210">
        <w:t xml:space="preserve"> se faça </w:t>
      </w:r>
      <w:r w:rsidRPr="00194210">
        <w:t>tanto em relação à Reclamada Principal, quanto aos seus sócios, devendo-se proceder com as compensações de todas as verbas e rubricas já pagas ou confessas; bem como proceder todos os descontos legais.</w:t>
      </w:r>
    </w:p>
    <w:p w14:paraId="6F71EB07" w14:textId="21D28259" w:rsidR="00AD353C" w:rsidRPr="001E07ED" w:rsidRDefault="00AD353C" w:rsidP="00655F68">
      <w:pPr>
        <w:rPr>
          <w:b/>
          <w:bCs/>
          <w:color w:val="1F3864" w:themeColor="accent1" w:themeShade="80"/>
        </w:rPr>
      </w:pPr>
      <w:r w:rsidRPr="001E07ED">
        <w:rPr>
          <w:b/>
          <w:bCs/>
          <w:color w:val="1F3864" w:themeColor="accent1" w:themeShade="80"/>
        </w:rPr>
        <w:t>Ainda, requer o desconto dos valores do período não laborado no BANCO DO BRASIL S.A.</w:t>
      </w:r>
    </w:p>
    <w:p w14:paraId="0A482F6F" w14:textId="6BD57682" w:rsidR="00E60126" w:rsidRDefault="00446773" w:rsidP="005469B2">
      <w:r w:rsidRPr="00194210">
        <w:t>Ressalte-se que, todas as notificações/ intimações sejam feitas, EXCLUSIVAMENTE, em nome do advogado/ subscritor MARCOS DÉLLI RIBEIRO RODRIGUES, inscrito na OAB/RN 5.553", sob pena de nulidade processual, nos termos do artigo 236 do CPC.</w:t>
      </w:r>
    </w:p>
    <w:p w14:paraId="1029793B" w14:textId="77777777" w:rsidR="005469B2" w:rsidRPr="00194210" w:rsidRDefault="005469B2" w:rsidP="005469B2"/>
    <w:p w14:paraId="67CE2FD7" w14:textId="27636A45" w:rsidR="00EB776F" w:rsidRPr="00194210" w:rsidRDefault="005322AA" w:rsidP="00E60126">
      <w:pPr>
        <w:spacing w:after="0"/>
        <w:ind w:firstLine="0"/>
        <w:jc w:val="center"/>
      </w:pPr>
      <w:r w:rsidRPr="00194210">
        <w:t>Nestes termos, pede deferimento.</w:t>
      </w:r>
    </w:p>
    <w:p w14:paraId="526C9CA7" w14:textId="0DED687D" w:rsidR="005322AA" w:rsidRPr="00194210" w:rsidRDefault="005322AA" w:rsidP="00E60126">
      <w:pPr>
        <w:spacing w:after="0"/>
        <w:ind w:firstLine="0"/>
        <w:jc w:val="center"/>
      </w:pPr>
      <w:r w:rsidRPr="00194210">
        <w:t xml:space="preserve">Natal, </w:t>
      </w:r>
      <w:r w:rsidR="00D377B0" w:rsidRPr="00194210">
        <w:t>data do protocolo</w:t>
      </w:r>
      <w:r w:rsidRPr="00194210">
        <w:t>.</w:t>
      </w:r>
    </w:p>
    <w:p w14:paraId="43511008" w14:textId="77777777" w:rsidR="00E60126" w:rsidRPr="00194210" w:rsidRDefault="00E60126" w:rsidP="00E60126">
      <w:pPr>
        <w:spacing w:after="0"/>
        <w:ind w:firstLine="0"/>
        <w:jc w:val="center"/>
      </w:pPr>
    </w:p>
    <w:p w14:paraId="30E8B3DD" w14:textId="54342CB9" w:rsidR="005322AA" w:rsidRPr="00194210" w:rsidRDefault="005322AA" w:rsidP="00E60126">
      <w:pPr>
        <w:spacing w:after="0"/>
        <w:ind w:firstLine="0"/>
        <w:jc w:val="center"/>
        <w:rPr>
          <w:b/>
          <w:bCs/>
          <w:color w:val="1F3864" w:themeColor="accent1" w:themeShade="80"/>
        </w:rPr>
      </w:pPr>
      <w:r w:rsidRPr="00194210">
        <w:rPr>
          <w:b/>
          <w:bCs/>
          <w:color w:val="1F3864" w:themeColor="accent1" w:themeShade="80"/>
        </w:rPr>
        <w:t>MARCOS DÉLLI RIBEIRO RODRIGUES</w:t>
      </w:r>
    </w:p>
    <w:p w14:paraId="47249552" w14:textId="361966E4" w:rsidR="000E07DB" w:rsidRDefault="00126F5B" w:rsidP="00AC04BD">
      <w:pPr>
        <w:spacing w:after="0"/>
        <w:ind w:firstLine="0"/>
        <w:jc w:val="center"/>
      </w:pPr>
      <w:r w:rsidRPr="00194210">
        <w:t xml:space="preserve">OAB/RN 5.553; </w:t>
      </w:r>
    </w:p>
    <w:p w14:paraId="369FA89B" w14:textId="7224331A" w:rsidR="003D2C8D" w:rsidRPr="00194210" w:rsidRDefault="003D2C8D" w:rsidP="00AC04BD">
      <w:pPr>
        <w:spacing w:after="0"/>
        <w:ind w:firstLine="0"/>
        <w:jc w:val="center"/>
      </w:pPr>
    </w:p>
    <w:sectPr w:rsidR="003D2C8D" w:rsidRPr="00194210" w:rsidSect="00E30321">
      <w:headerReference w:type="default" r:id="rId15"/>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7FE86" w14:textId="77777777" w:rsidR="008B7F55" w:rsidRDefault="008B7F55" w:rsidP="004F7469">
      <w:pPr>
        <w:spacing w:after="0" w:line="240" w:lineRule="auto"/>
      </w:pPr>
      <w:r>
        <w:separator/>
      </w:r>
    </w:p>
  </w:endnote>
  <w:endnote w:type="continuationSeparator" w:id="0">
    <w:p w14:paraId="7C3C5003" w14:textId="77777777" w:rsidR="008B7F55" w:rsidRDefault="008B7F55"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96A4A" w14:textId="77777777" w:rsidR="008B7F55" w:rsidRDefault="008B7F55" w:rsidP="004F7469">
      <w:pPr>
        <w:spacing w:after="0" w:line="240" w:lineRule="auto"/>
      </w:pPr>
      <w:r>
        <w:separator/>
      </w:r>
    </w:p>
  </w:footnote>
  <w:footnote w:type="continuationSeparator" w:id="0">
    <w:p w14:paraId="009E766F" w14:textId="77777777" w:rsidR="008B7F55" w:rsidRDefault="008B7F55"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62D"/>
    <w:multiLevelType w:val="hybridMultilevel"/>
    <w:tmpl w:val="BD867038"/>
    <w:lvl w:ilvl="0" w:tplc="90C8C39C">
      <w:start w:val="1"/>
      <w:numFmt w:val="lowerLetter"/>
      <w:lvlText w:val="%1)"/>
      <w:lvlJc w:val="left"/>
      <w:pPr>
        <w:ind w:left="3615" w:hanging="360"/>
      </w:pPr>
      <w:rPr>
        <w:rFonts w:hint="default"/>
      </w:rPr>
    </w:lvl>
    <w:lvl w:ilvl="1" w:tplc="04160019" w:tentative="1">
      <w:start w:val="1"/>
      <w:numFmt w:val="lowerLetter"/>
      <w:lvlText w:val="%2."/>
      <w:lvlJc w:val="left"/>
      <w:pPr>
        <w:ind w:left="4335" w:hanging="360"/>
      </w:pPr>
    </w:lvl>
    <w:lvl w:ilvl="2" w:tplc="0416001B" w:tentative="1">
      <w:start w:val="1"/>
      <w:numFmt w:val="lowerRoman"/>
      <w:lvlText w:val="%3."/>
      <w:lvlJc w:val="right"/>
      <w:pPr>
        <w:ind w:left="5055" w:hanging="180"/>
      </w:pPr>
    </w:lvl>
    <w:lvl w:ilvl="3" w:tplc="0416000F" w:tentative="1">
      <w:start w:val="1"/>
      <w:numFmt w:val="decimal"/>
      <w:lvlText w:val="%4."/>
      <w:lvlJc w:val="left"/>
      <w:pPr>
        <w:ind w:left="5775" w:hanging="360"/>
      </w:pPr>
    </w:lvl>
    <w:lvl w:ilvl="4" w:tplc="04160019" w:tentative="1">
      <w:start w:val="1"/>
      <w:numFmt w:val="lowerLetter"/>
      <w:lvlText w:val="%5."/>
      <w:lvlJc w:val="left"/>
      <w:pPr>
        <w:ind w:left="6495" w:hanging="360"/>
      </w:pPr>
    </w:lvl>
    <w:lvl w:ilvl="5" w:tplc="0416001B" w:tentative="1">
      <w:start w:val="1"/>
      <w:numFmt w:val="lowerRoman"/>
      <w:lvlText w:val="%6."/>
      <w:lvlJc w:val="right"/>
      <w:pPr>
        <w:ind w:left="7215" w:hanging="180"/>
      </w:pPr>
    </w:lvl>
    <w:lvl w:ilvl="6" w:tplc="0416000F" w:tentative="1">
      <w:start w:val="1"/>
      <w:numFmt w:val="decimal"/>
      <w:lvlText w:val="%7."/>
      <w:lvlJc w:val="left"/>
      <w:pPr>
        <w:ind w:left="7935" w:hanging="360"/>
      </w:pPr>
    </w:lvl>
    <w:lvl w:ilvl="7" w:tplc="04160019" w:tentative="1">
      <w:start w:val="1"/>
      <w:numFmt w:val="lowerLetter"/>
      <w:lvlText w:val="%8."/>
      <w:lvlJc w:val="left"/>
      <w:pPr>
        <w:ind w:left="8655" w:hanging="360"/>
      </w:pPr>
    </w:lvl>
    <w:lvl w:ilvl="8" w:tplc="0416001B" w:tentative="1">
      <w:start w:val="1"/>
      <w:numFmt w:val="lowerRoman"/>
      <w:lvlText w:val="%9."/>
      <w:lvlJc w:val="right"/>
      <w:pPr>
        <w:ind w:left="9375" w:hanging="180"/>
      </w:pPr>
    </w:lvl>
  </w:abstractNum>
  <w:abstractNum w:abstractNumId="1" w15:restartNumberingAfterBreak="0">
    <w:nsid w:val="076E2856"/>
    <w:multiLevelType w:val="hybridMultilevel"/>
    <w:tmpl w:val="5F944CFE"/>
    <w:lvl w:ilvl="0" w:tplc="1DD60606">
      <w:start w:val="1"/>
      <w:numFmt w:val="upperRoman"/>
      <w:pStyle w:val="Ttulo1"/>
      <w:lvlText w:val="%1."/>
      <w:lvlJc w:val="right"/>
      <w:pPr>
        <w:ind w:left="720" w:hanging="360"/>
      </w:pPr>
    </w:lvl>
    <w:lvl w:ilvl="1" w:tplc="04160019">
      <w:start w:val="1"/>
      <w:numFmt w:val="lowerLetter"/>
      <w:lvlText w:val="%2."/>
      <w:lvlJc w:val="left"/>
      <w:pPr>
        <w:ind w:left="1440" w:hanging="360"/>
      </w:pPr>
    </w:lvl>
    <w:lvl w:ilvl="2" w:tplc="04160019">
      <w:start w:val="1"/>
      <w:numFmt w:val="lowerLetter"/>
      <w:lvlText w:val="%3."/>
      <w:lvlJc w:val="left"/>
      <w:pPr>
        <w:ind w:left="2340" w:hanging="36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CC5CF6"/>
    <w:multiLevelType w:val="hybridMultilevel"/>
    <w:tmpl w:val="F7F886F6"/>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853585F"/>
    <w:multiLevelType w:val="hybridMultilevel"/>
    <w:tmpl w:val="AAF4E736"/>
    <w:lvl w:ilvl="0" w:tplc="F260DA6A">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232616AB"/>
    <w:multiLevelType w:val="hybridMultilevel"/>
    <w:tmpl w:val="C05059F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6F06C73"/>
    <w:multiLevelType w:val="multilevel"/>
    <w:tmpl w:val="AF44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D7214"/>
    <w:multiLevelType w:val="multilevel"/>
    <w:tmpl w:val="0CBAC10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63F0F"/>
    <w:multiLevelType w:val="multilevel"/>
    <w:tmpl w:val="92D8E69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600688"/>
    <w:multiLevelType w:val="hybridMultilevel"/>
    <w:tmpl w:val="98FED59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761639A"/>
    <w:multiLevelType w:val="hybridMultilevel"/>
    <w:tmpl w:val="672EC63E"/>
    <w:lvl w:ilvl="0" w:tplc="04160013">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B1B68F3"/>
    <w:multiLevelType w:val="hybridMultilevel"/>
    <w:tmpl w:val="65782376"/>
    <w:lvl w:ilvl="0" w:tplc="B1266B22">
      <w:start w:val="1"/>
      <w:numFmt w:val="lowerLetter"/>
      <w:lvlText w:val="%1)"/>
      <w:lvlJc w:val="left"/>
      <w:pPr>
        <w:ind w:left="1260" w:hanging="360"/>
      </w:pPr>
      <w:rPr>
        <w:rFonts w:hint="default"/>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1" w15:restartNumberingAfterBreak="0">
    <w:nsid w:val="6E4935FF"/>
    <w:multiLevelType w:val="multilevel"/>
    <w:tmpl w:val="53E299D8"/>
    <w:lvl w:ilvl="0">
      <w:start w:val="2"/>
      <w:numFmt w:val="upperRoman"/>
      <w:lvlText w:val="%1."/>
      <w:lvlJc w:val="left"/>
      <w:pPr>
        <w:ind w:left="1378" w:hanging="634"/>
      </w:pPr>
      <w:rPr>
        <w:rFonts w:ascii="Palatino Linotype" w:eastAsia="Palatino Linotype" w:hAnsi="Palatino Linotype" w:cs="Palatino Linotype" w:hint="default"/>
        <w:b/>
        <w:bCs/>
        <w:i w:val="0"/>
        <w:iCs w:val="0"/>
        <w:spacing w:val="0"/>
        <w:w w:val="101"/>
        <w:sz w:val="27"/>
        <w:szCs w:val="27"/>
        <w:lang w:val="pt-PT" w:eastAsia="en-US" w:bidi="ar-SA"/>
      </w:rPr>
    </w:lvl>
    <w:lvl w:ilvl="1">
      <w:start w:val="1"/>
      <w:numFmt w:val="decimal"/>
      <w:lvlText w:val="%1.%2"/>
      <w:lvlJc w:val="left"/>
      <w:pPr>
        <w:ind w:left="1019" w:hanging="451"/>
      </w:pPr>
      <w:rPr>
        <w:rFonts w:ascii="Palatino Linotype" w:eastAsia="Palatino Linotype" w:hAnsi="Palatino Linotype" w:cs="Palatino Linotype" w:hint="default"/>
        <w:b/>
        <w:bCs/>
        <w:i w:val="0"/>
        <w:iCs w:val="0"/>
        <w:spacing w:val="-1"/>
        <w:w w:val="101"/>
        <w:sz w:val="25"/>
        <w:szCs w:val="25"/>
        <w:lang w:val="pt-PT" w:eastAsia="en-US" w:bidi="ar-SA"/>
      </w:rPr>
    </w:lvl>
    <w:lvl w:ilvl="2">
      <w:numFmt w:val="bullet"/>
      <w:lvlText w:val="•"/>
      <w:lvlJc w:val="left"/>
      <w:pPr>
        <w:ind w:left="2423" w:hanging="451"/>
      </w:pPr>
      <w:rPr>
        <w:rFonts w:hint="default"/>
        <w:lang w:val="pt-PT" w:eastAsia="en-US" w:bidi="ar-SA"/>
      </w:rPr>
    </w:lvl>
    <w:lvl w:ilvl="3">
      <w:numFmt w:val="bullet"/>
      <w:lvlText w:val="•"/>
      <w:lvlJc w:val="left"/>
      <w:pPr>
        <w:ind w:left="3466" w:hanging="451"/>
      </w:pPr>
      <w:rPr>
        <w:rFonts w:hint="default"/>
        <w:lang w:val="pt-PT" w:eastAsia="en-US" w:bidi="ar-SA"/>
      </w:rPr>
    </w:lvl>
    <w:lvl w:ilvl="4">
      <w:numFmt w:val="bullet"/>
      <w:lvlText w:val="•"/>
      <w:lvlJc w:val="left"/>
      <w:pPr>
        <w:ind w:left="4509" w:hanging="451"/>
      </w:pPr>
      <w:rPr>
        <w:rFonts w:hint="default"/>
        <w:lang w:val="pt-PT" w:eastAsia="en-US" w:bidi="ar-SA"/>
      </w:rPr>
    </w:lvl>
    <w:lvl w:ilvl="5">
      <w:numFmt w:val="bullet"/>
      <w:lvlText w:val="•"/>
      <w:lvlJc w:val="left"/>
      <w:pPr>
        <w:ind w:left="5552" w:hanging="451"/>
      </w:pPr>
      <w:rPr>
        <w:rFonts w:hint="default"/>
        <w:lang w:val="pt-PT" w:eastAsia="en-US" w:bidi="ar-SA"/>
      </w:rPr>
    </w:lvl>
    <w:lvl w:ilvl="6">
      <w:numFmt w:val="bullet"/>
      <w:lvlText w:val="•"/>
      <w:lvlJc w:val="left"/>
      <w:pPr>
        <w:ind w:left="6595" w:hanging="451"/>
      </w:pPr>
      <w:rPr>
        <w:rFonts w:hint="default"/>
        <w:lang w:val="pt-PT" w:eastAsia="en-US" w:bidi="ar-SA"/>
      </w:rPr>
    </w:lvl>
    <w:lvl w:ilvl="7">
      <w:numFmt w:val="bullet"/>
      <w:lvlText w:val="•"/>
      <w:lvlJc w:val="left"/>
      <w:pPr>
        <w:ind w:left="7638" w:hanging="451"/>
      </w:pPr>
      <w:rPr>
        <w:rFonts w:hint="default"/>
        <w:lang w:val="pt-PT" w:eastAsia="en-US" w:bidi="ar-SA"/>
      </w:rPr>
    </w:lvl>
    <w:lvl w:ilvl="8">
      <w:numFmt w:val="bullet"/>
      <w:lvlText w:val="•"/>
      <w:lvlJc w:val="left"/>
      <w:pPr>
        <w:ind w:left="8681" w:hanging="451"/>
      </w:pPr>
      <w:rPr>
        <w:rFonts w:hint="default"/>
        <w:lang w:val="pt-PT" w:eastAsia="en-US" w:bidi="ar-SA"/>
      </w:rPr>
    </w:lvl>
  </w:abstractNum>
  <w:abstractNum w:abstractNumId="12" w15:restartNumberingAfterBreak="0">
    <w:nsid w:val="79A469F3"/>
    <w:multiLevelType w:val="multilevel"/>
    <w:tmpl w:val="D93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B45A0"/>
    <w:multiLevelType w:val="multilevel"/>
    <w:tmpl w:val="A7E0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118700">
    <w:abstractNumId w:val="1"/>
  </w:num>
  <w:num w:numId="2" w16cid:durableId="1104618930">
    <w:abstractNumId w:val="10"/>
  </w:num>
  <w:num w:numId="3" w16cid:durableId="1829635944">
    <w:abstractNumId w:val="4"/>
  </w:num>
  <w:num w:numId="4" w16cid:durableId="1241789869">
    <w:abstractNumId w:val="2"/>
  </w:num>
  <w:num w:numId="5" w16cid:durableId="1002508943">
    <w:abstractNumId w:val="12"/>
  </w:num>
  <w:num w:numId="6" w16cid:durableId="1609846552">
    <w:abstractNumId w:val="1"/>
  </w:num>
  <w:num w:numId="7" w16cid:durableId="945386753">
    <w:abstractNumId w:val="1"/>
  </w:num>
  <w:num w:numId="8" w16cid:durableId="764113735">
    <w:abstractNumId w:val="1"/>
  </w:num>
  <w:num w:numId="9" w16cid:durableId="1266770207">
    <w:abstractNumId w:val="13"/>
  </w:num>
  <w:num w:numId="10" w16cid:durableId="1825273644">
    <w:abstractNumId w:val="1"/>
  </w:num>
  <w:num w:numId="11" w16cid:durableId="1460338946">
    <w:abstractNumId w:val="1"/>
  </w:num>
  <w:num w:numId="12" w16cid:durableId="1695181355">
    <w:abstractNumId w:val="1"/>
  </w:num>
  <w:num w:numId="13" w16cid:durableId="620116371">
    <w:abstractNumId w:val="6"/>
  </w:num>
  <w:num w:numId="14" w16cid:durableId="446898283">
    <w:abstractNumId w:val="5"/>
  </w:num>
  <w:num w:numId="15" w16cid:durableId="789594227">
    <w:abstractNumId w:val="1"/>
  </w:num>
  <w:num w:numId="16" w16cid:durableId="1785733322">
    <w:abstractNumId w:val="1"/>
  </w:num>
  <w:num w:numId="17" w16cid:durableId="808595864">
    <w:abstractNumId w:val="1"/>
  </w:num>
  <w:num w:numId="18" w16cid:durableId="1791973799">
    <w:abstractNumId w:val="1"/>
  </w:num>
  <w:num w:numId="19" w16cid:durableId="1081171935">
    <w:abstractNumId w:val="7"/>
  </w:num>
  <w:num w:numId="20" w16cid:durableId="1072653574">
    <w:abstractNumId w:val="1"/>
  </w:num>
  <w:num w:numId="21" w16cid:durableId="434331398">
    <w:abstractNumId w:val="1"/>
  </w:num>
  <w:num w:numId="22" w16cid:durableId="1016731922">
    <w:abstractNumId w:val="1"/>
  </w:num>
  <w:num w:numId="23" w16cid:durableId="360975296">
    <w:abstractNumId w:val="8"/>
  </w:num>
  <w:num w:numId="24" w16cid:durableId="2032681224">
    <w:abstractNumId w:val="1"/>
  </w:num>
  <w:num w:numId="25" w16cid:durableId="181864469">
    <w:abstractNumId w:val="3"/>
  </w:num>
  <w:num w:numId="26" w16cid:durableId="673530960">
    <w:abstractNumId w:val="0"/>
  </w:num>
  <w:num w:numId="27" w16cid:durableId="1209105578">
    <w:abstractNumId w:val="9"/>
  </w:num>
  <w:num w:numId="28" w16cid:durableId="172961528">
    <w:abstractNumId w:val="11"/>
  </w:num>
  <w:num w:numId="29" w16cid:durableId="2001807387">
    <w:abstractNumId w:val="1"/>
  </w:num>
  <w:num w:numId="30" w16cid:durableId="1286279022">
    <w:abstractNumId w:val="1"/>
  </w:num>
  <w:num w:numId="31" w16cid:durableId="135687566">
    <w:abstractNumId w:val="1"/>
  </w:num>
  <w:num w:numId="32" w16cid:durableId="712002791">
    <w:abstractNumId w:val="1"/>
  </w:num>
  <w:num w:numId="33" w16cid:durableId="1690716521">
    <w:abstractNumId w:val="1"/>
  </w:num>
  <w:num w:numId="34" w16cid:durableId="1162162829">
    <w:abstractNumId w:val="1"/>
  </w:num>
  <w:num w:numId="35" w16cid:durableId="1462066521">
    <w:abstractNumId w:val="1"/>
  </w:num>
  <w:num w:numId="36" w16cid:durableId="737561166">
    <w:abstractNumId w:val="1"/>
  </w:num>
  <w:num w:numId="37" w16cid:durableId="797603445">
    <w:abstractNumId w:val="1"/>
  </w:num>
  <w:num w:numId="38" w16cid:durableId="6100577">
    <w:abstractNumId w:val="1"/>
    <w:lvlOverride w:ilvl="0">
      <w:startOverride w:val="1"/>
    </w:lvlOverride>
  </w:num>
  <w:num w:numId="39" w16cid:durableId="61297552">
    <w:abstractNumId w:val="1"/>
  </w:num>
  <w:num w:numId="40" w16cid:durableId="1301808632">
    <w:abstractNumId w:val="1"/>
  </w:num>
  <w:num w:numId="41" w16cid:durableId="1493134191">
    <w:abstractNumId w:val="1"/>
  </w:num>
  <w:num w:numId="42" w16cid:durableId="180511154">
    <w:abstractNumId w:val="1"/>
  </w:num>
  <w:num w:numId="43" w16cid:durableId="1997684742">
    <w:abstractNumId w:val="1"/>
  </w:num>
  <w:num w:numId="44" w16cid:durableId="493649813">
    <w:abstractNumId w:val="1"/>
  </w:num>
  <w:num w:numId="45" w16cid:durableId="1688022597">
    <w:abstractNumId w:val="1"/>
  </w:num>
  <w:num w:numId="46" w16cid:durableId="1389376533">
    <w:abstractNumId w:val="1"/>
  </w:num>
  <w:num w:numId="47" w16cid:durableId="1649162902">
    <w:abstractNumId w:val="1"/>
  </w:num>
  <w:num w:numId="48" w16cid:durableId="1378823508">
    <w:abstractNumId w:val="1"/>
  </w:num>
  <w:num w:numId="49" w16cid:durableId="522986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0009A"/>
    <w:rsid w:val="00002E47"/>
    <w:rsid w:val="000053EE"/>
    <w:rsid w:val="00010A5C"/>
    <w:rsid w:val="00014DB3"/>
    <w:rsid w:val="00016BD5"/>
    <w:rsid w:val="00017D06"/>
    <w:rsid w:val="0002557A"/>
    <w:rsid w:val="00025E07"/>
    <w:rsid w:val="00026CB7"/>
    <w:rsid w:val="00033416"/>
    <w:rsid w:val="00037166"/>
    <w:rsid w:val="00040C49"/>
    <w:rsid w:val="0004301F"/>
    <w:rsid w:val="00046F01"/>
    <w:rsid w:val="0005662A"/>
    <w:rsid w:val="00062AE9"/>
    <w:rsid w:val="000657B7"/>
    <w:rsid w:val="00070B13"/>
    <w:rsid w:val="00070BBF"/>
    <w:rsid w:val="0007497D"/>
    <w:rsid w:val="00076B51"/>
    <w:rsid w:val="00084871"/>
    <w:rsid w:val="00086EFC"/>
    <w:rsid w:val="000871DA"/>
    <w:rsid w:val="000953D1"/>
    <w:rsid w:val="000A3A32"/>
    <w:rsid w:val="000A52FD"/>
    <w:rsid w:val="000A7666"/>
    <w:rsid w:val="000B0627"/>
    <w:rsid w:val="000B0C9B"/>
    <w:rsid w:val="000B21F3"/>
    <w:rsid w:val="000B284A"/>
    <w:rsid w:val="000B363B"/>
    <w:rsid w:val="000B4C1A"/>
    <w:rsid w:val="000B59DF"/>
    <w:rsid w:val="000B7083"/>
    <w:rsid w:val="000C6013"/>
    <w:rsid w:val="000D153F"/>
    <w:rsid w:val="000E07DB"/>
    <w:rsid w:val="000E1025"/>
    <w:rsid w:val="000E123D"/>
    <w:rsid w:val="000F03FB"/>
    <w:rsid w:val="000F3B4D"/>
    <w:rsid w:val="00101DAE"/>
    <w:rsid w:val="0010311E"/>
    <w:rsid w:val="001052C3"/>
    <w:rsid w:val="00121ED2"/>
    <w:rsid w:val="0012327B"/>
    <w:rsid w:val="00125E08"/>
    <w:rsid w:val="00126F5B"/>
    <w:rsid w:val="00132E62"/>
    <w:rsid w:val="00134BCF"/>
    <w:rsid w:val="00151DC7"/>
    <w:rsid w:val="001543D8"/>
    <w:rsid w:val="00156056"/>
    <w:rsid w:val="0016280C"/>
    <w:rsid w:val="00176433"/>
    <w:rsid w:val="00177397"/>
    <w:rsid w:val="00180BCF"/>
    <w:rsid w:val="001833DC"/>
    <w:rsid w:val="00184390"/>
    <w:rsid w:val="00184686"/>
    <w:rsid w:val="00194210"/>
    <w:rsid w:val="001A2E87"/>
    <w:rsid w:val="001B25FF"/>
    <w:rsid w:val="001B4F9B"/>
    <w:rsid w:val="001C0163"/>
    <w:rsid w:val="001C20E9"/>
    <w:rsid w:val="001C36E3"/>
    <w:rsid w:val="001D1BFC"/>
    <w:rsid w:val="001D2B84"/>
    <w:rsid w:val="001D5E25"/>
    <w:rsid w:val="001D6215"/>
    <w:rsid w:val="001E04C8"/>
    <w:rsid w:val="001E07ED"/>
    <w:rsid w:val="001E1DAC"/>
    <w:rsid w:val="001F28A0"/>
    <w:rsid w:val="001F29FA"/>
    <w:rsid w:val="001F4666"/>
    <w:rsid w:val="001F4A59"/>
    <w:rsid w:val="001F5BD1"/>
    <w:rsid w:val="00200855"/>
    <w:rsid w:val="002070B6"/>
    <w:rsid w:val="00224AF9"/>
    <w:rsid w:val="00225A77"/>
    <w:rsid w:val="00226D33"/>
    <w:rsid w:val="0022775B"/>
    <w:rsid w:val="00256C51"/>
    <w:rsid w:val="0026079C"/>
    <w:rsid w:val="00260F4E"/>
    <w:rsid w:val="00270239"/>
    <w:rsid w:val="00280EDF"/>
    <w:rsid w:val="002853DD"/>
    <w:rsid w:val="00285863"/>
    <w:rsid w:val="00285FC8"/>
    <w:rsid w:val="00286AA6"/>
    <w:rsid w:val="0029030F"/>
    <w:rsid w:val="00292776"/>
    <w:rsid w:val="002A0D41"/>
    <w:rsid w:val="002A3688"/>
    <w:rsid w:val="002B06AB"/>
    <w:rsid w:val="002D2644"/>
    <w:rsid w:val="002D60D3"/>
    <w:rsid w:val="002D6F94"/>
    <w:rsid w:val="002E333A"/>
    <w:rsid w:val="002E3C32"/>
    <w:rsid w:val="002F0C51"/>
    <w:rsid w:val="002F372A"/>
    <w:rsid w:val="002F7ACB"/>
    <w:rsid w:val="0031151E"/>
    <w:rsid w:val="00311DF0"/>
    <w:rsid w:val="00312CDB"/>
    <w:rsid w:val="0032474F"/>
    <w:rsid w:val="003310E8"/>
    <w:rsid w:val="0033244F"/>
    <w:rsid w:val="00334B46"/>
    <w:rsid w:val="00335CDE"/>
    <w:rsid w:val="003372BF"/>
    <w:rsid w:val="00337CFB"/>
    <w:rsid w:val="003401B3"/>
    <w:rsid w:val="00340A01"/>
    <w:rsid w:val="0034295D"/>
    <w:rsid w:val="0036051A"/>
    <w:rsid w:val="00362D20"/>
    <w:rsid w:val="003641B6"/>
    <w:rsid w:val="00364EA6"/>
    <w:rsid w:val="003677BE"/>
    <w:rsid w:val="00367AA3"/>
    <w:rsid w:val="003715C8"/>
    <w:rsid w:val="00372776"/>
    <w:rsid w:val="00375C66"/>
    <w:rsid w:val="0038445D"/>
    <w:rsid w:val="003925A9"/>
    <w:rsid w:val="003935D1"/>
    <w:rsid w:val="003A463F"/>
    <w:rsid w:val="003B252E"/>
    <w:rsid w:val="003B2E6D"/>
    <w:rsid w:val="003B3142"/>
    <w:rsid w:val="003B52E2"/>
    <w:rsid w:val="003C12CB"/>
    <w:rsid w:val="003D2C8D"/>
    <w:rsid w:val="003E12B4"/>
    <w:rsid w:val="003E36B8"/>
    <w:rsid w:val="003E54DA"/>
    <w:rsid w:val="003E6E89"/>
    <w:rsid w:val="003F1067"/>
    <w:rsid w:val="003F17F4"/>
    <w:rsid w:val="00400F3B"/>
    <w:rsid w:val="00406124"/>
    <w:rsid w:val="00410B1A"/>
    <w:rsid w:val="00412232"/>
    <w:rsid w:val="004134C2"/>
    <w:rsid w:val="00436A7E"/>
    <w:rsid w:val="00440310"/>
    <w:rsid w:val="00440E8B"/>
    <w:rsid w:val="004434CA"/>
    <w:rsid w:val="004449E4"/>
    <w:rsid w:val="00446773"/>
    <w:rsid w:val="00453D87"/>
    <w:rsid w:val="00462A60"/>
    <w:rsid w:val="00465490"/>
    <w:rsid w:val="00466FBE"/>
    <w:rsid w:val="00474D4A"/>
    <w:rsid w:val="0049251F"/>
    <w:rsid w:val="004948A9"/>
    <w:rsid w:val="00495793"/>
    <w:rsid w:val="004A5FD7"/>
    <w:rsid w:val="004A6061"/>
    <w:rsid w:val="004A68CA"/>
    <w:rsid w:val="004B580B"/>
    <w:rsid w:val="004C1527"/>
    <w:rsid w:val="004C6B37"/>
    <w:rsid w:val="004E3CC7"/>
    <w:rsid w:val="004E7734"/>
    <w:rsid w:val="004E7974"/>
    <w:rsid w:val="004F3B6B"/>
    <w:rsid w:val="004F69AF"/>
    <w:rsid w:val="004F711D"/>
    <w:rsid w:val="004F7469"/>
    <w:rsid w:val="00510B1D"/>
    <w:rsid w:val="005113DD"/>
    <w:rsid w:val="00516A8D"/>
    <w:rsid w:val="00523288"/>
    <w:rsid w:val="00524A01"/>
    <w:rsid w:val="00525B9F"/>
    <w:rsid w:val="00526D26"/>
    <w:rsid w:val="00532058"/>
    <w:rsid w:val="005322AA"/>
    <w:rsid w:val="005331E4"/>
    <w:rsid w:val="00545053"/>
    <w:rsid w:val="005469B2"/>
    <w:rsid w:val="00550EAF"/>
    <w:rsid w:val="00552068"/>
    <w:rsid w:val="00555837"/>
    <w:rsid w:val="00572857"/>
    <w:rsid w:val="005729B0"/>
    <w:rsid w:val="00574718"/>
    <w:rsid w:val="00582BF9"/>
    <w:rsid w:val="00586A55"/>
    <w:rsid w:val="0058771F"/>
    <w:rsid w:val="00587DF9"/>
    <w:rsid w:val="00591223"/>
    <w:rsid w:val="00591329"/>
    <w:rsid w:val="0059533F"/>
    <w:rsid w:val="00596D49"/>
    <w:rsid w:val="00596F4F"/>
    <w:rsid w:val="005972DA"/>
    <w:rsid w:val="005A23B0"/>
    <w:rsid w:val="005A2956"/>
    <w:rsid w:val="005B4523"/>
    <w:rsid w:val="005B7478"/>
    <w:rsid w:val="005B793B"/>
    <w:rsid w:val="005C23E5"/>
    <w:rsid w:val="005C3794"/>
    <w:rsid w:val="005C7ABF"/>
    <w:rsid w:val="005D3B35"/>
    <w:rsid w:val="005D48FA"/>
    <w:rsid w:val="005E191E"/>
    <w:rsid w:val="005E3562"/>
    <w:rsid w:val="005E449D"/>
    <w:rsid w:val="005F2926"/>
    <w:rsid w:val="00612A58"/>
    <w:rsid w:val="00620FFD"/>
    <w:rsid w:val="00630FFA"/>
    <w:rsid w:val="00631400"/>
    <w:rsid w:val="00636635"/>
    <w:rsid w:val="00645A46"/>
    <w:rsid w:val="0065331B"/>
    <w:rsid w:val="00655F68"/>
    <w:rsid w:val="00657141"/>
    <w:rsid w:val="00665F91"/>
    <w:rsid w:val="006703E1"/>
    <w:rsid w:val="006718B7"/>
    <w:rsid w:val="006877B3"/>
    <w:rsid w:val="006917B3"/>
    <w:rsid w:val="00692F9E"/>
    <w:rsid w:val="006A1642"/>
    <w:rsid w:val="006A70AF"/>
    <w:rsid w:val="006B0695"/>
    <w:rsid w:val="006B3993"/>
    <w:rsid w:val="006B3AE0"/>
    <w:rsid w:val="006B4250"/>
    <w:rsid w:val="006C4EE6"/>
    <w:rsid w:val="006E1C14"/>
    <w:rsid w:val="006E2168"/>
    <w:rsid w:val="006E2D26"/>
    <w:rsid w:val="006E36E9"/>
    <w:rsid w:val="006E4108"/>
    <w:rsid w:val="006E4976"/>
    <w:rsid w:val="006E7673"/>
    <w:rsid w:val="006E7CF7"/>
    <w:rsid w:val="006F1B22"/>
    <w:rsid w:val="006F4AA4"/>
    <w:rsid w:val="006F6399"/>
    <w:rsid w:val="006F6EB1"/>
    <w:rsid w:val="0071012E"/>
    <w:rsid w:val="0071696A"/>
    <w:rsid w:val="00724101"/>
    <w:rsid w:val="00726E43"/>
    <w:rsid w:val="00734845"/>
    <w:rsid w:val="007462AB"/>
    <w:rsid w:val="00747AB3"/>
    <w:rsid w:val="007530A8"/>
    <w:rsid w:val="00767E0E"/>
    <w:rsid w:val="00774BFB"/>
    <w:rsid w:val="00774CB1"/>
    <w:rsid w:val="0077715B"/>
    <w:rsid w:val="0078203E"/>
    <w:rsid w:val="00782861"/>
    <w:rsid w:val="007969ED"/>
    <w:rsid w:val="007A2705"/>
    <w:rsid w:val="007A2F8D"/>
    <w:rsid w:val="007C0A7B"/>
    <w:rsid w:val="007C3C8B"/>
    <w:rsid w:val="007C48B3"/>
    <w:rsid w:val="007D5208"/>
    <w:rsid w:val="007E619E"/>
    <w:rsid w:val="007F3E3A"/>
    <w:rsid w:val="007F5190"/>
    <w:rsid w:val="007F612A"/>
    <w:rsid w:val="0081196B"/>
    <w:rsid w:val="00813F34"/>
    <w:rsid w:val="00815355"/>
    <w:rsid w:val="00817E38"/>
    <w:rsid w:val="0082365B"/>
    <w:rsid w:val="00823A82"/>
    <w:rsid w:val="00831D19"/>
    <w:rsid w:val="008405E4"/>
    <w:rsid w:val="00841060"/>
    <w:rsid w:val="0084224A"/>
    <w:rsid w:val="00842571"/>
    <w:rsid w:val="0084274E"/>
    <w:rsid w:val="0084314B"/>
    <w:rsid w:val="00847D04"/>
    <w:rsid w:val="00851158"/>
    <w:rsid w:val="00865227"/>
    <w:rsid w:val="0086678A"/>
    <w:rsid w:val="008767F3"/>
    <w:rsid w:val="00881B7F"/>
    <w:rsid w:val="00886B1D"/>
    <w:rsid w:val="00887E8F"/>
    <w:rsid w:val="008932C0"/>
    <w:rsid w:val="008A1D45"/>
    <w:rsid w:val="008A5BD1"/>
    <w:rsid w:val="008B5EDA"/>
    <w:rsid w:val="008B7F55"/>
    <w:rsid w:val="008C25A6"/>
    <w:rsid w:val="008C3F05"/>
    <w:rsid w:val="008C4164"/>
    <w:rsid w:val="008D3980"/>
    <w:rsid w:val="008D40FA"/>
    <w:rsid w:val="008D5AF7"/>
    <w:rsid w:val="008E4B3D"/>
    <w:rsid w:val="008E5B96"/>
    <w:rsid w:val="008E625E"/>
    <w:rsid w:val="008F1D06"/>
    <w:rsid w:val="008F5137"/>
    <w:rsid w:val="00903AE5"/>
    <w:rsid w:val="00914104"/>
    <w:rsid w:val="009152C2"/>
    <w:rsid w:val="009303AE"/>
    <w:rsid w:val="009347FA"/>
    <w:rsid w:val="00936886"/>
    <w:rsid w:val="00940F16"/>
    <w:rsid w:val="0094141D"/>
    <w:rsid w:val="00941A2A"/>
    <w:rsid w:val="00942958"/>
    <w:rsid w:val="00946269"/>
    <w:rsid w:val="00963000"/>
    <w:rsid w:val="00972F11"/>
    <w:rsid w:val="00981052"/>
    <w:rsid w:val="009843D7"/>
    <w:rsid w:val="00987BBF"/>
    <w:rsid w:val="009B46EF"/>
    <w:rsid w:val="009B63B7"/>
    <w:rsid w:val="009C0007"/>
    <w:rsid w:val="009C034F"/>
    <w:rsid w:val="009C03F3"/>
    <w:rsid w:val="009C0C5D"/>
    <w:rsid w:val="009C0E7B"/>
    <w:rsid w:val="009C316F"/>
    <w:rsid w:val="009D096B"/>
    <w:rsid w:val="009D442E"/>
    <w:rsid w:val="009E2F21"/>
    <w:rsid w:val="009E63F0"/>
    <w:rsid w:val="009E7EE5"/>
    <w:rsid w:val="009F2101"/>
    <w:rsid w:val="009F34DB"/>
    <w:rsid w:val="009F371B"/>
    <w:rsid w:val="00A006C9"/>
    <w:rsid w:val="00A02528"/>
    <w:rsid w:val="00A03BFD"/>
    <w:rsid w:val="00A069A1"/>
    <w:rsid w:val="00A07198"/>
    <w:rsid w:val="00A147A8"/>
    <w:rsid w:val="00A20EDC"/>
    <w:rsid w:val="00A20F1B"/>
    <w:rsid w:val="00A249D5"/>
    <w:rsid w:val="00A26E34"/>
    <w:rsid w:val="00A274EC"/>
    <w:rsid w:val="00A33536"/>
    <w:rsid w:val="00A353F2"/>
    <w:rsid w:val="00A44134"/>
    <w:rsid w:val="00A47A3C"/>
    <w:rsid w:val="00A51A51"/>
    <w:rsid w:val="00A5662A"/>
    <w:rsid w:val="00A57CF2"/>
    <w:rsid w:val="00A60EAF"/>
    <w:rsid w:val="00A60F2E"/>
    <w:rsid w:val="00A63584"/>
    <w:rsid w:val="00A74163"/>
    <w:rsid w:val="00A8238A"/>
    <w:rsid w:val="00A82642"/>
    <w:rsid w:val="00A97685"/>
    <w:rsid w:val="00AA18E6"/>
    <w:rsid w:val="00AB380A"/>
    <w:rsid w:val="00AC04BD"/>
    <w:rsid w:val="00AC1859"/>
    <w:rsid w:val="00AC1C43"/>
    <w:rsid w:val="00AC5646"/>
    <w:rsid w:val="00AD0277"/>
    <w:rsid w:val="00AD353C"/>
    <w:rsid w:val="00AD3FBC"/>
    <w:rsid w:val="00AE3760"/>
    <w:rsid w:val="00AE3EE6"/>
    <w:rsid w:val="00AE4FA1"/>
    <w:rsid w:val="00AE563D"/>
    <w:rsid w:val="00AE6AF3"/>
    <w:rsid w:val="00AF2B63"/>
    <w:rsid w:val="00AF6A3D"/>
    <w:rsid w:val="00AF7E71"/>
    <w:rsid w:val="00B02728"/>
    <w:rsid w:val="00B04556"/>
    <w:rsid w:val="00B04CC8"/>
    <w:rsid w:val="00B16143"/>
    <w:rsid w:val="00B21549"/>
    <w:rsid w:val="00B254DB"/>
    <w:rsid w:val="00B365E0"/>
    <w:rsid w:val="00B368A5"/>
    <w:rsid w:val="00B436BF"/>
    <w:rsid w:val="00B50F4E"/>
    <w:rsid w:val="00B52593"/>
    <w:rsid w:val="00B61A79"/>
    <w:rsid w:val="00B71328"/>
    <w:rsid w:val="00B74116"/>
    <w:rsid w:val="00B75128"/>
    <w:rsid w:val="00B75EB4"/>
    <w:rsid w:val="00B8262D"/>
    <w:rsid w:val="00B848DD"/>
    <w:rsid w:val="00B85D8A"/>
    <w:rsid w:val="00B86E1E"/>
    <w:rsid w:val="00B87FC0"/>
    <w:rsid w:val="00B908E1"/>
    <w:rsid w:val="00BB5739"/>
    <w:rsid w:val="00BB6E53"/>
    <w:rsid w:val="00BC38EF"/>
    <w:rsid w:val="00BD2F8B"/>
    <w:rsid w:val="00BD3727"/>
    <w:rsid w:val="00BD402F"/>
    <w:rsid w:val="00BD46CA"/>
    <w:rsid w:val="00BD59D9"/>
    <w:rsid w:val="00BD63B1"/>
    <w:rsid w:val="00BE00EF"/>
    <w:rsid w:val="00BF3C46"/>
    <w:rsid w:val="00BF7EE6"/>
    <w:rsid w:val="00C00E8E"/>
    <w:rsid w:val="00C01D69"/>
    <w:rsid w:val="00C1158E"/>
    <w:rsid w:val="00C15ED9"/>
    <w:rsid w:val="00C205ED"/>
    <w:rsid w:val="00C211B0"/>
    <w:rsid w:val="00C23FAF"/>
    <w:rsid w:val="00C258A3"/>
    <w:rsid w:val="00C30814"/>
    <w:rsid w:val="00C560B0"/>
    <w:rsid w:val="00C66A76"/>
    <w:rsid w:val="00C6700D"/>
    <w:rsid w:val="00C739B5"/>
    <w:rsid w:val="00C73B07"/>
    <w:rsid w:val="00C756D0"/>
    <w:rsid w:val="00C76AB6"/>
    <w:rsid w:val="00C90A3F"/>
    <w:rsid w:val="00C9602B"/>
    <w:rsid w:val="00C97024"/>
    <w:rsid w:val="00C974E9"/>
    <w:rsid w:val="00CA4273"/>
    <w:rsid w:val="00CA5D4D"/>
    <w:rsid w:val="00CC2B42"/>
    <w:rsid w:val="00CC505C"/>
    <w:rsid w:val="00CC5888"/>
    <w:rsid w:val="00CC5F93"/>
    <w:rsid w:val="00CC6E2A"/>
    <w:rsid w:val="00CD2B8C"/>
    <w:rsid w:val="00CD3F8B"/>
    <w:rsid w:val="00CD5418"/>
    <w:rsid w:val="00CE4782"/>
    <w:rsid w:val="00CF2E9D"/>
    <w:rsid w:val="00CF6D4F"/>
    <w:rsid w:val="00D039C4"/>
    <w:rsid w:val="00D06B63"/>
    <w:rsid w:val="00D131C4"/>
    <w:rsid w:val="00D21D53"/>
    <w:rsid w:val="00D26281"/>
    <w:rsid w:val="00D310DA"/>
    <w:rsid w:val="00D33513"/>
    <w:rsid w:val="00D3662F"/>
    <w:rsid w:val="00D377B0"/>
    <w:rsid w:val="00D400FD"/>
    <w:rsid w:val="00D42906"/>
    <w:rsid w:val="00D4310E"/>
    <w:rsid w:val="00D43F40"/>
    <w:rsid w:val="00D534D0"/>
    <w:rsid w:val="00D57460"/>
    <w:rsid w:val="00D62210"/>
    <w:rsid w:val="00D64276"/>
    <w:rsid w:val="00D738B1"/>
    <w:rsid w:val="00D74DAD"/>
    <w:rsid w:val="00D75884"/>
    <w:rsid w:val="00D777DD"/>
    <w:rsid w:val="00D904AE"/>
    <w:rsid w:val="00DA277A"/>
    <w:rsid w:val="00DA3449"/>
    <w:rsid w:val="00DB1D93"/>
    <w:rsid w:val="00DB68D2"/>
    <w:rsid w:val="00DC2E06"/>
    <w:rsid w:val="00DC546E"/>
    <w:rsid w:val="00DD02D0"/>
    <w:rsid w:val="00DD60B5"/>
    <w:rsid w:val="00DE1DC7"/>
    <w:rsid w:val="00DE4729"/>
    <w:rsid w:val="00DE4FAC"/>
    <w:rsid w:val="00DF22F8"/>
    <w:rsid w:val="00DF3B13"/>
    <w:rsid w:val="00DF66E2"/>
    <w:rsid w:val="00E02211"/>
    <w:rsid w:val="00E05C63"/>
    <w:rsid w:val="00E066BB"/>
    <w:rsid w:val="00E133CA"/>
    <w:rsid w:val="00E13CFF"/>
    <w:rsid w:val="00E159C0"/>
    <w:rsid w:val="00E1674C"/>
    <w:rsid w:val="00E261B0"/>
    <w:rsid w:val="00E27181"/>
    <w:rsid w:val="00E30321"/>
    <w:rsid w:val="00E32F9C"/>
    <w:rsid w:val="00E35328"/>
    <w:rsid w:val="00E3658E"/>
    <w:rsid w:val="00E37D9D"/>
    <w:rsid w:val="00E542D4"/>
    <w:rsid w:val="00E60126"/>
    <w:rsid w:val="00E6053F"/>
    <w:rsid w:val="00E609B9"/>
    <w:rsid w:val="00E612BE"/>
    <w:rsid w:val="00E63425"/>
    <w:rsid w:val="00E66021"/>
    <w:rsid w:val="00E82513"/>
    <w:rsid w:val="00E86430"/>
    <w:rsid w:val="00E873A7"/>
    <w:rsid w:val="00E8772B"/>
    <w:rsid w:val="00E93BE4"/>
    <w:rsid w:val="00EA3AF7"/>
    <w:rsid w:val="00EA57B0"/>
    <w:rsid w:val="00EA5F4D"/>
    <w:rsid w:val="00EA745D"/>
    <w:rsid w:val="00EB259C"/>
    <w:rsid w:val="00EB776F"/>
    <w:rsid w:val="00EC532F"/>
    <w:rsid w:val="00EC5EA9"/>
    <w:rsid w:val="00ED2705"/>
    <w:rsid w:val="00ED642D"/>
    <w:rsid w:val="00EE0EEB"/>
    <w:rsid w:val="00EE1800"/>
    <w:rsid w:val="00EE63CC"/>
    <w:rsid w:val="00EF61F9"/>
    <w:rsid w:val="00F017B0"/>
    <w:rsid w:val="00F05E04"/>
    <w:rsid w:val="00F228DC"/>
    <w:rsid w:val="00F22C77"/>
    <w:rsid w:val="00F23DE2"/>
    <w:rsid w:val="00F3080C"/>
    <w:rsid w:val="00F31F88"/>
    <w:rsid w:val="00F32249"/>
    <w:rsid w:val="00F32567"/>
    <w:rsid w:val="00F36BDC"/>
    <w:rsid w:val="00F4491C"/>
    <w:rsid w:val="00F4735A"/>
    <w:rsid w:val="00F47C17"/>
    <w:rsid w:val="00F646E9"/>
    <w:rsid w:val="00F65E02"/>
    <w:rsid w:val="00F665E2"/>
    <w:rsid w:val="00F70C1F"/>
    <w:rsid w:val="00F71322"/>
    <w:rsid w:val="00F7612E"/>
    <w:rsid w:val="00F7676D"/>
    <w:rsid w:val="00F850DF"/>
    <w:rsid w:val="00F876AD"/>
    <w:rsid w:val="00F94ACE"/>
    <w:rsid w:val="00F9520E"/>
    <w:rsid w:val="00F974A6"/>
    <w:rsid w:val="00FA43EC"/>
    <w:rsid w:val="00FB4ADE"/>
    <w:rsid w:val="00FC5842"/>
    <w:rsid w:val="00FD04CF"/>
    <w:rsid w:val="00FD2C34"/>
    <w:rsid w:val="00FD7B4B"/>
    <w:rsid w:val="00FE0292"/>
    <w:rsid w:val="00FE3502"/>
    <w:rsid w:val="00FE465F"/>
    <w:rsid w:val="00FF1C95"/>
    <w:rsid w:val="00FF4AB8"/>
    <w:rsid w:val="00FF5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F7612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semiHidden/>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semiHidden/>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 w:type="character" w:styleId="Forte">
    <w:name w:val="Strong"/>
    <w:basedOn w:val="Fontepargpadro"/>
    <w:uiPriority w:val="22"/>
    <w:qFormat/>
    <w:rsid w:val="000B363B"/>
    <w:rPr>
      <w:b/>
      <w:bCs/>
    </w:rPr>
  </w:style>
  <w:style w:type="paragraph" w:styleId="NormalWeb">
    <w:name w:val="Normal (Web)"/>
    <w:basedOn w:val="Normal"/>
    <w:uiPriority w:val="99"/>
    <w:semiHidden/>
    <w:unhideWhenUsed/>
    <w:rsid w:val="00F32249"/>
    <w:pPr>
      <w:spacing w:before="100" w:beforeAutospacing="1" w:after="100" w:afterAutospacing="1" w:line="240" w:lineRule="auto"/>
      <w:ind w:firstLine="0"/>
      <w:jc w:val="left"/>
    </w:pPr>
    <w:rPr>
      <w:rFonts w:ascii="Times New Roman" w:eastAsia="Times New Roman" w:hAnsi="Times New Roman" w:cs="Times New Roman"/>
      <w:color w:val="auto"/>
      <w:kern w:val="0"/>
      <w:lang w:eastAsia="pt-BR"/>
      <w14:ligatures w14:val="none"/>
    </w:rPr>
  </w:style>
  <w:style w:type="character" w:styleId="Hyperlink">
    <w:name w:val="Hyperlink"/>
    <w:basedOn w:val="Fontepargpadro"/>
    <w:uiPriority w:val="99"/>
    <w:unhideWhenUsed/>
    <w:rsid w:val="00865227"/>
    <w:rPr>
      <w:color w:val="0563C1" w:themeColor="hyperlink"/>
      <w:u w:val="single"/>
    </w:rPr>
  </w:style>
  <w:style w:type="character" w:styleId="MenoPendente">
    <w:name w:val="Unresolved Mention"/>
    <w:basedOn w:val="Fontepargpadro"/>
    <w:uiPriority w:val="99"/>
    <w:semiHidden/>
    <w:unhideWhenUsed/>
    <w:rsid w:val="00865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433">
      <w:bodyDiv w:val="1"/>
      <w:marLeft w:val="0"/>
      <w:marRight w:val="0"/>
      <w:marTop w:val="0"/>
      <w:marBottom w:val="0"/>
      <w:divBdr>
        <w:top w:val="none" w:sz="0" w:space="0" w:color="auto"/>
        <w:left w:val="none" w:sz="0" w:space="0" w:color="auto"/>
        <w:bottom w:val="none" w:sz="0" w:space="0" w:color="auto"/>
        <w:right w:val="none" w:sz="0" w:space="0" w:color="auto"/>
      </w:divBdr>
    </w:div>
    <w:div w:id="91319238">
      <w:bodyDiv w:val="1"/>
      <w:marLeft w:val="0"/>
      <w:marRight w:val="0"/>
      <w:marTop w:val="0"/>
      <w:marBottom w:val="0"/>
      <w:divBdr>
        <w:top w:val="none" w:sz="0" w:space="0" w:color="auto"/>
        <w:left w:val="none" w:sz="0" w:space="0" w:color="auto"/>
        <w:bottom w:val="none" w:sz="0" w:space="0" w:color="auto"/>
        <w:right w:val="none" w:sz="0" w:space="0" w:color="auto"/>
      </w:divBdr>
    </w:div>
    <w:div w:id="93282374">
      <w:bodyDiv w:val="1"/>
      <w:marLeft w:val="0"/>
      <w:marRight w:val="0"/>
      <w:marTop w:val="0"/>
      <w:marBottom w:val="0"/>
      <w:divBdr>
        <w:top w:val="none" w:sz="0" w:space="0" w:color="auto"/>
        <w:left w:val="none" w:sz="0" w:space="0" w:color="auto"/>
        <w:bottom w:val="none" w:sz="0" w:space="0" w:color="auto"/>
        <w:right w:val="none" w:sz="0" w:space="0" w:color="auto"/>
      </w:divBdr>
    </w:div>
    <w:div w:id="184834776">
      <w:bodyDiv w:val="1"/>
      <w:marLeft w:val="0"/>
      <w:marRight w:val="0"/>
      <w:marTop w:val="0"/>
      <w:marBottom w:val="0"/>
      <w:divBdr>
        <w:top w:val="none" w:sz="0" w:space="0" w:color="auto"/>
        <w:left w:val="none" w:sz="0" w:space="0" w:color="auto"/>
        <w:bottom w:val="none" w:sz="0" w:space="0" w:color="auto"/>
        <w:right w:val="none" w:sz="0" w:space="0" w:color="auto"/>
      </w:divBdr>
    </w:div>
    <w:div w:id="225919126">
      <w:bodyDiv w:val="1"/>
      <w:marLeft w:val="0"/>
      <w:marRight w:val="0"/>
      <w:marTop w:val="0"/>
      <w:marBottom w:val="0"/>
      <w:divBdr>
        <w:top w:val="none" w:sz="0" w:space="0" w:color="auto"/>
        <w:left w:val="none" w:sz="0" w:space="0" w:color="auto"/>
        <w:bottom w:val="none" w:sz="0" w:space="0" w:color="auto"/>
        <w:right w:val="none" w:sz="0" w:space="0" w:color="auto"/>
      </w:divBdr>
    </w:div>
    <w:div w:id="255673156">
      <w:bodyDiv w:val="1"/>
      <w:marLeft w:val="0"/>
      <w:marRight w:val="0"/>
      <w:marTop w:val="0"/>
      <w:marBottom w:val="0"/>
      <w:divBdr>
        <w:top w:val="none" w:sz="0" w:space="0" w:color="auto"/>
        <w:left w:val="none" w:sz="0" w:space="0" w:color="auto"/>
        <w:bottom w:val="none" w:sz="0" w:space="0" w:color="auto"/>
        <w:right w:val="none" w:sz="0" w:space="0" w:color="auto"/>
      </w:divBdr>
      <w:divsChild>
        <w:div w:id="776675384">
          <w:marLeft w:val="0"/>
          <w:marRight w:val="0"/>
          <w:marTop w:val="0"/>
          <w:marBottom w:val="0"/>
          <w:divBdr>
            <w:top w:val="none" w:sz="0" w:space="0" w:color="auto"/>
            <w:left w:val="none" w:sz="0" w:space="0" w:color="auto"/>
            <w:bottom w:val="none" w:sz="0" w:space="0" w:color="auto"/>
            <w:right w:val="none" w:sz="0" w:space="0" w:color="auto"/>
          </w:divBdr>
        </w:div>
        <w:div w:id="868034556">
          <w:blockQuote w:val="1"/>
          <w:marLeft w:val="0"/>
          <w:marRight w:val="0"/>
          <w:marTop w:val="0"/>
          <w:marBottom w:val="0"/>
          <w:divBdr>
            <w:top w:val="none" w:sz="0" w:space="0" w:color="auto"/>
            <w:left w:val="single" w:sz="6" w:space="9" w:color="CCD5E1"/>
            <w:bottom w:val="none" w:sz="0" w:space="0" w:color="auto"/>
            <w:right w:val="none" w:sz="0" w:space="0" w:color="auto"/>
          </w:divBdr>
          <w:divsChild>
            <w:div w:id="1002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91499">
      <w:bodyDiv w:val="1"/>
      <w:marLeft w:val="0"/>
      <w:marRight w:val="0"/>
      <w:marTop w:val="0"/>
      <w:marBottom w:val="0"/>
      <w:divBdr>
        <w:top w:val="none" w:sz="0" w:space="0" w:color="auto"/>
        <w:left w:val="none" w:sz="0" w:space="0" w:color="auto"/>
        <w:bottom w:val="none" w:sz="0" w:space="0" w:color="auto"/>
        <w:right w:val="none" w:sz="0" w:space="0" w:color="auto"/>
      </w:divBdr>
      <w:divsChild>
        <w:div w:id="688600230">
          <w:marLeft w:val="0"/>
          <w:marRight w:val="0"/>
          <w:marTop w:val="0"/>
          <w:marBottom w:val="0"/>
          <w:divBdr>
            <w:top w:val="none" w:sz="0" w:space="0" w:color="auto"/>
            <w:left w:val="none" w:sz="0" w:space="0" w:color="auto"/>
            <w:bottom w:val="none" w:sz="0" w:space="0" w:color="auto"/>
            <w:right w:val="none" w:sz="0" w:space="0" w:color="auto"/>
          </w:divBdr>
        </w:div>
        <w:div w:id="707753779">
          <w:blockQuote w:val="1"/>
          <w:marLeft w:val="0"/>
          <w:marRight w:val="0"/>
          <w:marTop w:val="0"/>
          <w:marBottom w:val="0"/>
          <w:divBdr>
            <w:top w:val="none" w:sz="0" w:space="0" w:color="auto"/>
            <w:left w:val="single" w:sz="6" w:space="9" w:color="CCD5E1"/>
            <w:bottom w:val="none" w:sz="0" w:space="0" w:color="auto"/>
            <w:right w:val="none" w:sz="0" w:space="0" w:color="auto"/>
          </w:divBdr>
          <w:divsChild>
            <w:div w:id="14617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921">
      <w:bodyDiv w:val="1"/>
      <w:marLeft w:val="0"/>
      <w:marRight w:val="0"/>
      <w:marTop w:val="0"/>
      <w:marBottom w:val="0"/>
      <w:divBdr>
        <w:top w:val="none" w:sz="0" w:space="0" w:color="auto"/>
        <w:left w:val="none" w:sz="0" w:space="0" w:color="auto"/>
        <w:bottom w:val="none" w:sz="0" w:space="0" w:color="auto"/>
        <w:right w:val="none" w:sz="0" w:space="0" w:color="auto"/>
      </w:divBdr>
    </w:div>
    <w:div w:id="288753700">
      <w:bodyDiv w:val="1"/>
      <w:marLeft w:val="0"/>
      <w:marRight w:val="0"/>
      <w:marTop w:val="0"/>
      <w:marBottom w:val="0"/>
      <w:divBdr>
        <w:top w:val="none" w:sz="0" w:space="0" w:color="auto"/>
        <w:left w:val="none" w:sz="0" w:space="0" w:color="auto"/>
        <w:bottom w:val="none" w:sz="0" w:space="0" w:color="auto"/>
        <w:right w:val="none" w:sz="0" w:space="0" w:color="auto"/>
      </w:divBdr>
    </w:div>
    <w:div w:id="304746641">
      <w:bodyDiv w:val="1"/>
      <w:marLeft w:val="0"/>
      <w:marRight w:val="0"/>
      <w:marTop w:val="0"/>
      <w:marBottom w:val="0"/>
      <w:divBdr>
        <w:top w:val="none" w:sz="0" w:space="0" w:color="auto"/>
        <w:left w:val="none" w:sz="0" w:space="0" w:color="auto"/>
        <w:bottom w:val="none" w:sz="0" w:space="0" w:color="auto"/>
        <w:right w:val="none" w:sz="0" w:space="0" w:color="auto"/>
      </w:divBdr>
    </w:div>
    <w:div w:id="338193470">
      <w:bodyDiv w:val="1"/>
      <w:marLeft w:val="0"/>
      <w:marRight w:val="0"/>
      <w:marTop w:val="0"/>
      <w:marBottom w:val="0"/>
      <w:divBdr>
        <w:top w:val="none" w:sz="0" w:space="0" w:color="auto"/>
        <w:left w:val="none" w:sz="0" w:space="0" w:color="auto"/>
        <w:bottom w:val="none" w:sz="0" w:space="0" w:color="auto"/>
        <w:right w:val="none" w:sz="0" w:space="0" w:color="auto"/>
      </w:divBdr>
    </w:div>
    <w:div w:id="350303340">
      <w:bodyDiv w:val="1"/>
      <w:marLeft w:val="0"/>
      <w:marRight w:val="0"/>
      <w:marTop w:val="0"/>
      <w:marBottom w:val="0"/>
      <w:divBdr>
        <w:top w:val="none" w:sz="0" w:space="0" w:color="auto"/>
        <w:left w:val="none" w:sz="0" w:space="0" w:color="auto"/>
        <w:bottom w:val="none" w:sz="0" w:space="0" w:color="auto"/>
        <w:right w:val="none" w:sz="0" w:space="0" w:color="auto"/>
      </w:divBdr>
    </w:div>
    <w:div w:id="371156057">
      <w:bodyDiv w:val="1"/>
      <w:marLeft w:val="0"/>
      <w:marRight w:val="0"/>
      <w:marTop w:val="0"/>
      <w:marBottom w:val="0"/>
      <w:divBdr>
        <w:top w:val="none" w:sz="0" w:space="0" w:color="auto"/>
        <w:left w:val="none" w:sz="0" w:space="0" w:color="auto"/>
        <w:bottom w:val="none" w:sz="0" w:space="0" w:color="auto"/>
        <w:right w:val="none" w:sz="0" w:space="0" w:color="auto"/>
      </w:divBdr>
    </w:div>
    <w:div w:id="382023030">
      <w:bodyDiv w:val="1"/>
      <w:marLeft w:val="0"/>
      <w:marRight w:val="0"/>
      <w:marTop w:val="0"/>
      <w:marBottom w:val="0"/>
      <w:divBdr>
        <w:top w:val="none" w:sz="0" w:space="0" w:color="auto"/>
        <w:left w:val="none" w:sz="0" w:space="0" w:color="auto"/>
        <w:bottom w:val="none" w:sz="0" w:space="0" w:color="auto"/>
        <w:right w:val="none" w:sz="0" w:space="0" w:color="auto"/>
      </w:divBdr>
    </w:div>
    <w:div w:id="383599063">
      <w:bodyDiv w:val="1"/>
      <w:marLeft w:val="0"/>
      <w:marRight w:val="0"/>
      <w:marTop w:val="0"/>
      <w:marBottom w:val="0"/>
      <w:divBdr>
        <w:top w:val="none" w:sz="0" w:space="0" w:color="auto"/>
        <w:left w:val="none" w:sz="0" w:space="0" w:color="auto"/>
        <w:bottom w:val="none" w:sz="0" w:space="0" w:color="auto"/>
        <w:right w:val="none" w:sz="0" w:space="0" w:color="auto"/>
      </w:divBdr>
    </w:div>
    <w:div w:id="406071663">
      <w:bodyDiv w:val="1"/>
      <w:marLeft w:val="0"/>
      <w:marRight w:val="0"/>
      <w:marTop w:val="0"/>
      <w:marBottom w:val="0"/>
      <w:divBdr>
        <w:top w:val="none" w:sz="0" w:space="0" w:color="auto"/>
        <w:left w:val="none" w:sz="0" w:space="0" w:color="auto"/>
        <w:bottom w:val="none" w:sz="0" w:space="0" w:color="auto"/>
        <w:right w:val="none" w:sz="0" w:space="0" w:color="auto"/>
      </w:divBdr>
      <w:divsChild>
        <w:div w:id="196904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664851">
          <w:marLeft w:val="0"/>
          <w:marRight w:val="0"/>
          <w:marTop w:val="0"/>
          <w:marBottom w:val="0"/>
          <w:divBdr>
            <w:top w:val="none" w:sz="0" w:space="0" w:color="auto"/>
            <w:left w:val="none" w:sz="0" w:space="0" w:color="auto"/>
            <w:bottom w:val="none" w:sz="0" w:space="0" w:color="auto"/>
            <w:right w:val="none" w:sz="0" w:space="0" w:color="auto"/>
          </w:divBdr>
        </w:div>
        <w:div w:id="334499895">
          <w:marLeft w:val="0"/>
          <w:marRight w:val="0"/>
          <w:marTop w:val="0"/>
          <w:marBottom w:val="0"/>
          <w:divBdr>
            <w:top w:val="none" w:sz="0" w:space="0" w:color="auto"/>
            <w:left w:val="none" w:sz="0" w:space="0" w:color="auto"/>
            <w:bottom w:val="none" w:sz="0" w:space="0" w:color="auto"/>
            <w:right w:val="none" w:sz="0" w:space="0" w:color="auto"/>
          </w:divBdr>
        </w:div>
      </w:divsChild>
    </w:div>
    <w:div w:id="412288497">
      <w:bodyDiv w:val="1"/>
      <w:marLeft w:val="0"/>
      <w:marRight w:val="0"/>
      <w:marTop w:val="0"/>
      <w:marBottom w:val="0"/>
      <w:divBdr>
        <w:top w:val="none" w:sz="0" w:space="0" w:color="auto"/>
        <w:left w:val="none" w:sz="0" w:space="0" w:color="auto"/>
        <w:bottom w:val="none" w:sz="0" w:space="0" w:color="auto"/>
        <w:right w:val="none" w:sz="0" w:space="0" w:color="auto"/>
      </w:divBdr>
    </w:div>
    <w:div w:id="440951996">
      <w:bodyDiv w:val="1"/>
      <w:marLeft w:val="0"/>
      <w:marRight w:val="0"/>
      <w:marTop w:val="0"/>
      <w:marBottom w:val="0"/>
      <w:divBdr>
        <w:top w:val="none" w:sz="0" w:space="0" w:color="auto"/>
        <w:left w:val="none" w:sz="0" w:space="0" w:color="auto"/>
        <w:bottom w:val="none" w:sz="0" w:space="0" w:color="auto"/>
        <w:right w:val="none" w:sz="0" w:space="0" w:color="auto"/>
      </w:divBdr>
    </w:div>
    <w:div w:id="477697693">
      <w:bodyDiv w:val="1"/>
      <w:marLeft w:val="0"/>
      <w:marRight w:val="0"/>
      <w:marTop w:val="0"/>
      <w:marBottom w:val="0"/>
      <w:divBdr>
        <w:top w:val="none" w:sz="0" w:space="0" w:color="auto"/>
        <w:left w:val="none" w:sz="0" w:space="0" w:color="auto"/>
        <w:bottom w:val="none" w:sz="0" w:space="0" w:color="auto"/>
        <w:right w:val="none" w:sz="0" w:space="0" w:color="auto"/>
      </w:divBdr>
    </w:div>
    <w:div w:id="529728330">
      <w:bodyDiv w:val="1"/>
      <w:marLeft w:val="0"/>
      <w:marRight w:val="0"/>
      <w:marTop w:val="0"/>
      <w:marBottom w:val="0"/>
      <w:divBdr>
        <w:top w:val="none" w:sz="0" w:space="0" w:color="auto"/>
        <w:left w:val="none" w:sz="0" w:space="0" w:color="auto"/>
        <w:bottom w:val="none" w:sz="0" w:space="0" w:color="auto"/>
        <w:right w:val="none" w:sz="0" w:space="0" w:color="auto"/>
      </w:divBdr>
    </w:div>
    <w:div w:id="533272341">
      <w:bodyDiv w:val="1"/>
      <w:marLeft w:val="0"/>
      <w:marRight w:val="0"/>
      <w:marTop w:val="0"/>
      <w:marBottom w:val="0"/>
      <w:divBdr>
        <w:top w:val="none" w:sz="0" w:space="0" w:color="auto"/>
        <w:left w:val="none" w:sz="0" w:space="0" w:color="auto"/>
        <w:bottom w:val="none" w:sz="0" w:space="0" w:color="auto"/>
        <w:right w:val="none" w:sz="0" w:space="0" w:color="auto"/>
      </w:divBdr>
    </w:div>
    <w:div w:id="545798378">
      <w:bodyDiv w:val="1"/>
      <w:marLeft w:val="0"/>
      <w:marRight w:val="0"/>
      <w:marTop w:val="0"/>
      <w:marBottom w:val="0"/>
      <w:divBdr>
        <w:top w:val="none" w:sz="0" w:space="0" w:color="auto"/>
        <w:left w:val="none" w:sz="0" w:space="0" w:color="auto"/>
        <w:bottom w:val="none" w:sz="0" w:space="0" w:color="auto"/>
        <w:right w:val="none" w:sz="0" w:space="0" w:color="auto"/>
      </w:divBdr>
    </w:div>
    <w:div w:id="558367204">
      <w:bodyDiv w:val="1"/>
      <w:marLeft w:val="0"/>
      <w:marRight w:val="0"/>
      <w:marTop w:val="0"/>
      <w:marBottom w:val="0"/>
      <w:divBdr>
        <w:top w:val="none" w:sz="0" w:space="0" w:color="auto"/>
        <w:left w:val="none" w:sz="0" w:space="0" w:color="auto"/>
        <w:bottom w:val="none" w:sz="0" w:space="0" w:color="auto"/>
        <w:right w:val="none" w:sz="0" w:space="0" w:color="auto"/>
      </w:divBdr>
      <w:divsChild>
        <w:div w:id="775060076">
          <w:blockQuote w:val="1"/>
          <w:marLeft w:val="720"/>
          <w:marRight w:val="720"/>
          <w:marTop w:val="100"/>
          <w:marBottom w:val="100"/>
          <w:divBdr>
            <w:top w:val="none" w:sz="0" w:space="0" w:color="auto"/>
            <w:left w:val="none" w:sz="0" w:space="0" w:color="auto"/>
            <w:bottom w:val="none" w:sz="0" w:space="0" w:color="auto"/>
            <w:right w:val="none" w:sz="0" w:space="0" w:color="auto"/>
          </w:divBdr>
        </w:div>
        <w:div w:id="829831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2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45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511660">
      <w:bodyDiv w:val="1"/>
      <w:marLeft w:val="0"/>
      <w:marRight w:val="0"/>
      <w:marTop w:val="0"/>
      <w:marBottom w:val="0"/>
      <w:divBdr>
        <w:top w:val="none" w:sz="0" w:space="0" w:color="auto"/>
        <w:left w:val="none" w:sz="0" w:space="0" w:color="auto"/>
        <w:bottom w:val="none" w:sz="0" w:space="0" w:color="auto"/>
        <w:right w:val="none" w:sz="0" w:space="0" w:color="auto"/>
      </w:divBdr>
    </w:div>
    <w:div w:id="610742803">
      <w:bodyDiv w:val="1"/>
      <w:marLeft w:val="0"/>
      <w:marRight w:val="0"/>
      <w:marTop w:val="0"/>
      <w:marBottom w:val="0"/>
      <w:divBdr>
        <w:top w:val="none" w:sz="0" w:space="0" w:color="auto"/>
        <w:left w:val="none" w:sz="0" w:space="0" w:color="auto"/>
        <w:bottom w:val="none" w:sz="0" w:space="0" w:color="auto"/>
        <w:right w:val="none" w:sz="0" w:space="0" w:color="auto"/>
      </w:divBdr>
    </w:div>
    <w:div w:id="719479251">
      <w:bodyDiv w:val="1"/>
      <w:marLeft w:val="0"/>
      <w:marRight w:val="0"/>
      <w:marTop w:val="0"/>
      <w:marBottom w:val="0"/>
      <w:divBdr>
        <w:top w:val="none" w:sz="0" w:space="0" w:color="auto"/>
        <w:left w:val="none" w:sz="0" w:space="0" w:color="auto"/>
        <w:bottom w:val="none" w:sz="0" w:space="0" w:color="auto"/>
        <w:right w:val="none" w:sz="0" w:space="0" w:color="auto"/>
      </w:divBdr>
    </w:div>
    <w:div w:id="748307635">
      <w:bodyDiv w:val="1"/>
      <w:marLeft w:val="0"/>
      <w:marRight w:val="0"/>
      <w:marTop w:val="0"/>
      <w:marBottom w:val="0"/>
      <w:divBdr>
        <w:top w:val="none" w:sz="0" w:space="0" w:color="auto"/>
        <w:left w:val="none" w:sz="0" w:space="0" w:color="auto"/>
        <w:bottom w:val="none" w:sz="0" w:space="0" w:color="auto"/>
        <w:right w:val="none" w:sz="0" w:space="0" w:color="auto"/>
      </w:divBdr>
    </w:div>
    <w:div w:id="757867987">
      <w:bodyDiv w:val="1"/>
      <w:marLeft w:val="0"/>
      <w:marRight w:val="0"/>
      <w:marTop w:val="0"/>
      <w:marBottom w:val="0"/>
      <w:divBdr>
        <w:top w:val="none" w:sz="0" w:space="0" w:color="auto"/>
        <w:left w:val="none" w:sz="0" w:space="0" w:color="auto"/>
        <w:bottom w:val="none" w:sz="0" w:space="0" w:color="auto"/>
        <w:right w:val="none" w:sz="0" w:space="0" w:color="auto"/>
      </w:divBdr>
      <w:divsChild>
        <w:div w:id="72942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239209">
          <w:marLeft w:val="0"/>
          <w:marRight w:val="0"/>
          <w:marTop w:val="0"/>
          <w:marBottom w:val="0"/>
          <w:divBdr>
            <w:top w:val="none" w:sz="0" w:space="0" w:color="auto"/>
            <w:left w:val="none" w:sz="0" w:space="0" w:color="auto"/>
            <w:bottom w:val="none" w:sz="0" w:space="0" w:color="auto"/>
            <w:right w:val="none" w:sz="0" w:space="0" w:color="auto"/>
          </w:divBdr>
        </w:div>
        <w:div w:id="380177108">
          <w:marLeft w:val="0"/>
          <w:marRight w:val="0"/>
          <w:marTop w:val="0"/>
          <w:marBottom w:val="0"/>
          <w:divBdr>
            <w:top w:val="none" w:sz="0" w:space="0" w:color="auto"/>
            <w:left w:val="none" w:sz="0" w:space="0" w:color="auto"/>
            <w:bottom w:val="none" w:sz="0" w:space="0" w:color="auto"/>
            <w:right w:val="none" w:sz="0" w:space="0" w:color="auto"/>
          </w:divBdr>
        </w:div>
      </w:divsChild>
    </w:div>
    <w:div w:id="797069034">
      <w:bodyDiv w:val="1"/>
      <w:marLeft w:val="0"/>
      <w:marRight w:val="0"/>
      <w:marTop w:val="0"/>
      <w:marBottom w:val="0"/>
      <w:divBdr>
        <w:top w:val="none" w:sz="0" w:space="0" w:color="auto"/>
        <w:left w:val="none" w:sz="0" w:space="0" w:color="auto"/>
        <w:bottom w:val="none" w:sz="0" w:space="0" w:color="auto"/>
        <w:right w:val="none" w:sz="0" w:space="0" w:color="auto"/>
      </w:divBdr>
    </w:div>
    <w:div w:id="817112370">
      <w:bodyDiv w:val="1"/>
      <w:marLeft w:val="0"/>
      <w:marRight w:val="0"/>
      <w:marTop w:val="0"/>
      <w:marBottom w:val="0"/>
      <w:divBdr>
        <w:top w:val="none" w:sz="0" w:space="0" w:color="auto"/>
        <w:left w:val="none" w:sz="0" w:space="0" w:color="auto"/>
        <w:bottom w:val="none" w:sz="0" w:space="0" w:color="auto"/>
        <w:right w:val="none" w:sz="0" w:space="0" w:color="auto"/>
      </w:divBdr>
    </w:div>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994450084">
      <w:bodyDiv w:val="1"/>
      <w:marLeft w:val="0"/>
      <w:marRight w:val="0"/>
      <w:marTop w:val="0"/>
      <w:marBottom w:val="0"/>
      <w:divBdr>
        <w:top w:val="none" w:sz="0" w:space="0" w:color="auto"/>
        <w:left w:val="none" w:sz="0" w:space="0" w:color="auto"/>
        <w:bottom w:val="none" w:sz="0" w:space="0" w:color="auto"/>
        <w:right w:val="none" w:sz="0" w:space="0" w:color="auto"/>
      </w:divBdr>
    </w:div>
    <w:div w:id="1020276003">
      <w:bodyDiv w:val="1"/>
      <w:marLeft w:val="0"/>
      <w:marRight w:val="0"/>
      <w:marTop w:val="0"/>
      <w:marBottom w:val="0"/>
      <w:divBdr>
        <w:top w:val="none" w:sz="0" w:space="0" w:color="auto"/>
        <w:left w:val="none" w:sz="0" w:space="0" w:color="auto"/>
        <w:bottom w:val="none" w:sz="0" w:space="0" w:color="auto"/>
        <w:right w:val="none" w:sz="0" w:space="0" w:color="auto"/>
      </w:divBdr>
    </w:div>
    <w:div w:id="1053850768">
      <w:bodyDiv w:val="1"/>
      <w:marLeft w:val="0"/>
      <w:marRight w:val="0"/>
      <w:marTop w:val="0"/>
      <w:marBottom w:val="0"/>
      <w:divBdr>
        <w:top w:val="none" w:sz="0" w:space="0" w:color="auto"/>
        <w:left w:val="none" w:sz="0" w:space="0" w:color="auto"/>
        <w:bottom w:val="none" w:sz="0" w:space="0" w:color="auto"/>
        <w:right w:val="none" w:sz="0" w:space="0" w:color="auto"/>
      </w:divBdr>
    </w:div>
    <w:div w:id="1276978982">
      <w:bodyDiv w:val="1"/>
      <w:marLeft w:val="0"/>
      <w:marRight w:val="0"/>
      <w:marTop w:val="0"/>
      <w:marBottom w:val="0"/>
      <w:divBdr>
        <w:top w:val="none" w:sz="0" w:space="0" w:color="auto"/>
        <w:left w:val="none" w:sz="0" w:space="0" w:color="auto"/>
        <w:bottom w:val="none" w:sz="0" w:space="0" w:color="auto"/>
        <w:right w:val="none" w:sz="0" w:space="0" w:color="auto"/>
      </w:divBdr>
    </w:div>
    <w:div w:id="1412433600">
      <w:bodyDiv w:val="1"/>
      <w:marLeft w:val="0"/>
      <w:marRight w:val="0"/>
      <w:marTop w:val="0"/>
      <w:marBottom w:val="0"/>
      <w:divBdr>
        <w:top w:val="none" w:sz="0" w:space="0" w:color="auto"/>
        <w:left w:val="none" w:sz="0" w:space="0" w:color="auto"/>
        <w:bottom w:val="none" w:sz="0" w:space="0" w:color="auto"/>
        <w:right w:val="none" w:sz="0" w:space="0" w:color="auto"/>
      </w:divBdr>
      <w:divsChild>
        <w:div w:id="985085121">
          <w:marLeft w:val="0"/>
          <w:marRight w:val="0"/>
          <w:marTop w:val="0"/>
          <w:marBottom w:val="0"/>
          <w:divBdr>
            <w:top w:val="none" w:sz="0" w:space="0" w:color="auto"/>
            <w:left w:val="none" w:sz="0" w:space="0" w:color="auto"/>
            <w:bottom w:val="none" w:sz="0" w:space="0" w:color="auto"/>
            <w:right w:val="none" w:sz="0" w:space="0" w:color="auto"/>
          </w:divBdr>
        </w:div>
        <w:div w:id="950553751">
          <w:blockQuote w:val="1"/>
          <w:marLeft w:val="0"/>
          <w:marRight w:val="0"/>
          <w:marTop w:val="0"/>
          <w:marBottom w:val="0"/>
          <w:divBdr>
            <w:top w:val="none" w:sz="0" w:space="0" w:color="auto"/>
            <w:left w:val="single" w:sz="6" w:space="9" w:color="CCD5E1"/>
            <w:bottom w:val="none" w:sz="0" w:space="0" w:color="auto"/>
            <w:right w:val="none" w:sz="0" w:space="0" w:color="auto"/>
          </w:divBdr>
          <w:divsChild>
            <w:div w:id="18183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570">
      <w:bodyDiv w:val="1"/>
      <w:marLeft w:val="0"/>
      <w:marRight w:val="0"/>
      <w:marTop w:val="0"/>
      <w:marBottom w:val="0"/>
      <w:divBdr>
        <w:top w:val="none" w:sz="0" w:space="0" w:color="auto"/>
        <w:left w:val="none" w:sz="0" w:space="0" w:color="auto"/>
        <w:bottom w:val="none" w:sz="0" w:space="0" w:color="auto"/>
        <w:right w:val="none" w:sz="0" w:space="0" w:color="auto"/>
      </w:divBdr>
    </w:div>
    <w:div w:id="1501308875">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 w:id="1558511780">
      <w:bodyDiv w:val="1"/>
      <w:marLeft w:val="0"/>
      <w:marRight w:val="0"/>
      <w:marTop w:val="0"/>
      <w:marBottom w:val="0"/>
      <w:divBdr>
        <w:top w:val="none" w:sz="0" w:space="0" w:color="auto"/>
        <w:left w:val="none" w:sz="0" w:space="0" w:color="auto"/>
        <w:bottom w:val="none" w:sz="0" w:space="0" w:color="auto"/>
        <w:right w:val="none" w:sz="0" w:space="0" w:color="auto"/>
      </w:divBdr>
    </w:div>
    <w:div w:id="1576433545">
      <w:bodyDiv w:val="1"/>
      <w:marLeft w:val="0"/>
      <w:marRight w:val="0"/>
      <w:marTop w:val="0"/>
      <w:marBottom w:val="0"/>
      <w:divBdr>
        <w:top w:val="none" w:sz="0" w:space="0" w:color="auto"/>
        <w:left w:val="none" w:sz="0" w:space="0" w:color="auto"/>
        <w:bottom w:val="none" w:sz="0" w:space="0" w:color="auto"/>
        <w:right w:val="none" w:sz="0" w:space="0" w:color="auto"/>
      </w:divBdr>
    </w:div>
    <w:div w:id="1594360648">
      <w:bodyDiv w:val="1"/>
      <w:marLeft w:val="0"/>
      <w:marRight w:val="0"/>
      <w:marTop w:val="0"/>
      <w:marBottom w:val="0"/>
      <w:divBdr>
        <w:top w:val="none" w:sz="0" w:space="0" w:color="auto"/>
        <w:left w:val="none" w:sz="0" w:space="0" w:color="auto"/>
        <w:bottom w:val="none" w:sz="0" w:space="0" w:color="auto"/>
        <w:right w:val="none" w:sz="0" w:space="0" w:color="auto"/>
      </w:divBdr>
      <w:divsChild>
        <w:div w:id="1557156147">
          <w:marLeft w:val="0"/>
          <w:marRight w:val="0"/>
          <w:marTop w:val="0"/>
          <w:marBottom w:val="0"/>
          <w:divBdr>
            <w:top w:val="none" w:sz="0" w:space="0" w:color="auto"/>
            <w:left w:val="none" w:sz="0" w:space="0" w:color="auto"/>
            <w:bottom w:val="none" w:sz="0" w:space="0" w:color="auto"/>
            <w:right w:val="none" w:sz="0" w:space="0" w:color="auto"/>
          </w:divBdr>
        </w:div>
      </w:divsChild>
    </w:div>
    <w:div w:id="1679850565">
      <w:bodyDiv w:val="1"/>
      <w:marLeft w:val="0"/>
      <w:marRight w:val="0"/>
      <w:marTop w:val="0"/>
      <w:marBottom w:val="0"/>
      <w:divBdr>
        <w:top w:val="none" w:sz="0" w:space="0" w:color="auto"/>
        <w:left w:val="none" w:sz="0" w:space="0" w:color="auto"/>
        <w:bottom w:val="none" w:sz="0" w:space="0" w:color="auto"/>
        <w:right w:val="none" w:sz="0" w:space="0" w:color="auto"/>
      </w:divBdr>
      <w:divsChild>
        <w:div w:id="161882787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3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2984887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104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578783">
      <w:bodyDiv w:val="1"/>
      <w:marLeft w:val="0"/>
      <w:marRight w:val="0"/>
      <w:marTop w:val="0"/>
      <w:marBottom w:val="0"/>
      <w:divBdr>
        <w:top w:val="none" w:sz="0" w:space="0" w:color="auto"/>
        <w:left w:val="none" w:sz="0" w:space="0" w:color="auto"/>
        <w:bottom w:val="none" w:sz="0" w:space="0" w:color="auto"/>
        <w:right w:val="none" w:sz="0" w:space="0" w:color="auto"/>
      </w:divBdr>
    </w:div>
    <w:div w:id="1796607018">
      <w:bodyDiv w:val="1"/>
      <w:marLeft w:val="0"/>
      <w:marRight w:val="0"/>
      <w:marTop w:val="0"/>
      <w:marBottom w:val="0"/>
      <w:divBdr>
        <w:top w:val="none" w:sz="0" w:space="0" w:color="auto"/>
        <w:left w:val="none" w:sz="0" w:space="0" w:color="auto"/>
        <w:bottom w:val="none" w:sz="0" w:space="0" w:color="auto"/>
        <w:right w:val="none" w:sz="0" w:space="0" w:color="auto"/>
      </w:divBdr>
    </w:div>
    <w:div w:id="1796630204">
      <w:bodyDiv w:val="1"/>
      <w:marLeft w:val="0"/>
      <w:marRight w:val="0"/>
      <w:marTop w:val="0"/>
      <w:marBottom w:val="0"/>
      <w:divBdr>
        <w:top w:val="none" w:sz="0" w:space="0" w:color="auto"/>
        <w:left w:val="none" w:sz="0" w:space="0" w:color="auto"/>
        <w:bottom w:val="none" w:sz="0" w:space="0" w:color="auto"/>
        <w:right w:val="none" w:sz="0" w:space="0" w:color="auto"/>
      </w:divBdr>
      <w:divsChild>
        <w:div w:id="440999830">
          <w:marLeft w:val="0"/>
          <w:marRight w:val="0"/>
          <w:marTop w:val="0"/>
          <w:marBottom w:val="0"/>
          <w:divBdr>
            <w:top w:val="none" w:sz="0" w:space="0" w:color="auto"/>
            <w:left w:val="none" w:sz="0" w:space="0" w:color="auto"/>
            <w:bottom w:val="none" w:sz="0" w:space="0" w:color="auto"/>
            <w:right w:val="none" w:sz="0" w:space="0" w:color="auto"/>
          </w:divBdr>
        </w:div>
        <w:div w:id="450248838">
          <w:blockQuote w:val="1"/>
          <w:marLeft w:val="0"/>
          <w:marRight w:val="0"/>
          <w:marTop w:val="0"/>
          <w:marBottom w:val="0"/>
          <w:divBdr>
            <w:top w:val="none" w:sz="0" w:space="0" w:color="auto"/>
            <w:left w:val="single" w:sz="6" w:space="9" w:color="CCD5E1"/>
            <w:bottom w:val="none" w:sz="0" w:space="0" w:color="auto"/>
            <w:right w:val="none" w:sz="0" w:space="0" w:color="auto"/>
          </w:divBdr>
          <w:divsChild>
            <w:div w:id="1177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1299">
      <w:bodyDiv w:val="1"/>
      <w:marLeft w:val="0"/>
      <w:marRight w:val="0"/>
      <w:marTop w:val="0"/>
      <w:marBottom w:val="0"/>
      <w:divBdr>
        <w:top w:val="none" w:sz="0" w:space="0" w:color="auto"/>
        <w:left w:val="none" w:sz="0" w:space="0" w:color="auto"/>
        <w:bottom w:val="none" w:sz="0" w:space="0" w:color="auto"/>
        <w:right w:val="none" w:sz="0" w:space="0" w:color="auto"/>
      </w:divBdr>
    </w:div>
    <w:div w:id="1940602953">
      <w:bodyDiv w:val="1"/>
      <w:marLeft w:val="0"/>
      <w:marRight w:val="0"/>
      <w:marTop w:val="0"/>
      <w:marBottom w:val="0"/>
      <w:divBdr>
        <w:top w:val="none" w:sz="0" w:space="0" w:color="auto"/>
        <w:left w:val="none" w:sz="0" w:space="0" w:color="auto"/>
        <w:bottom w:val="none" w:sz="0" w:space="0" w:color="auto"/>
        <w:right w:val="none" w:sz="0" w:space="0" w:color="auto"/>
      </w:divBdr>
    </w:div>
    <w:div w:id="2054500010">
      <w:bodyDiv w:val="1"/>
      <w:marLeft w:val="0"/>
      <w:marRight w:val="0"/>
      <w:marTop w:val="0"/>
      <w:marBottom w:val="0"/>
      <w:divBdr>
        <w:top w:val="none" w:sz="0" w:space="0" w:color="auto"/>
        <w:left w:val="none" w:sz="0" w:space="0" w:color="auto"/>
        <w:bottom w:val="none" w:sz="0" w:space="0" w:color="auto"/>
        <w:right w:val="none" w:sz="0" w:space="0" w:color="auto"/>
      </w:divBdr>
    </w:div>
    <w:div w:id="2055349745">
      <w:bodyDiv w:val="1"/>
      <w:marLeft w:val="0"/>
      <w:marRight w:val="0"/>
      <w:marTop w:val="0"/>
      <w:marBottom w:val="0"/>
      <w:divBdr>
        <w:top w:val="none" w:sz="0" w:space="0" w:color="auto"/>
        <w:left w:val="none" w:sz="0" w:space="0" w:color="auto"/>
        <w:bottom w:val="none" w:sz="0" w:space="0" w:color="auto"/>
        <w:right w:val="none" w:sz="0" w:space="0" w:color="auto"/>
      </w:divBdr>
    </w:div>
    <w:div w:id="214257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55F37DF-557D-40ED-B0AC-45A239E61B99}" type="doc">
      <dgm:prSet loTypeId="urn:microsoft.com/office/officeart/2005/8/layout/chevron1" loCatId="process" qsTypeId="urn:microsoft.com/office/officeart/2005/8/quickstyle/simple1" qsCatId="simple" csTypeId="urn:microsoft.com/office/officeart/2005/8/colors/accent0_3" csCatId="mainScheme" phldr="1"/>
      <dgm:spPr/>
      <dgm:t>
        <a:bodyPr/>
        <a:lstStyle/>
        <a:p>
          <a:endParaRPr lang="pt-BR"/>
        </a:p>
      </dgm:t>
    </dgm:pt>
    <dgm:pt modelId="{FED1AE61-81F6-4EE3-AA4B-849DAE8DD5D1}">
      <dgm:prSet phldrT="[Texto]" custT="1"/>
      <dgm:spPr/>
      <dgm:t>
        <a:bodyPr/>
        <a:lstStyle/>
        <a:p>
          <a:r>
            <a:rPr lang="pt-BR" sz="1000" b="1">
              <a:latin typeface="Palatino Linotype" panose="02040502050505030304" pitchFamily="18" charset="0"/>
            </a:rPr>
            <a:t>ADMISSÃO:</a:t>
          </a:r>
          <a:br>
            <a:rPr lang="pt-BR" sz="1000">
              <a:latin typeface="Palatino Linotype" panose="02040502050505030304" pitchFamily="18" charset="0"/>
            </a:rPr>
          </a:br>
          <a:r>
            <a:rPr lang="pt-BR" sz="1000"/>
            <a:t>{{ data_admissao }}, </a:t>
          </a:r>
          <a:endParaRPr lang="pt-BR" sz="1000">
            <a:latin typeface="Palatino Linotype" panose="02040502050505030304" pitchFamily="18" charset="0"/>
          </a:endParaRPr>
        </a:p>
      </dgm:t>
    </dgm:pt>
    <dgm:pt modelId="{E0F94102-4FA2-4FAC-8A30-59EEF4786A38}" type="parTrans" cxnId="{A7A5192C-7C3C-4375-93F9-AF7D161C15C2}">
      <dgm:prSet/>
      <dgm:spPr/>
      <dgm:t>
        <a:bodyPr/>
        <a:lstStyle/>
        <a:p>
          <a:endParaRPr lang="pt-BR"/>
        </a:p>
      </dgm:t>
    </dgm:pt>
    <dgm:pt modelId="{80E2F81C-16F6-4064-A045-F0811830AF51}" type="sibTrans" cxnId="{A7A5192C-7C3C-4375-93F9-AF7D161C15C2}">
      <dgm:prSet/>
      <dgm:spPr/>
      <dgm:t>
        <a:bodyPr/>
        <a:lstStyle/>
        <a:p>
          <a:endParaRPr lang="pt-BR"/>
        </a:p>
      </dgm:t>
    </dgm:pt>
    <dgm:pt modelId="{B25332B1-7562-4216-9D35-65737F4666D9}">
      <dgm:prSet phldrT="[Texto]" custT="1"/>
      <dgm:spPr/>
      <dgm:t>
        <a:bodyPr/>
        <a:lstStyle/>
        <a:p>
          <a:r>
            <a:rPr lang="pt-BR" sz="1000" b="1">
              <a:latin typeface="Palatino Linotype" panose="02040502050505030304" pitchFamily="18" charset="0"/>
            </a:rPr>
            <a:t>FUNÇÃO:</a:t>
          </a:r>
          <a:br>
            <a:rPr lang="pt-BR" sz="1000">
              <a:latin typeface="Palatino Linotype" panose="02040502050505030304" pitchFamily="18" charset="0"/>
            </a:rPr>
          </a:br>
          <a:r>
            <a:rPr lang="pt-BR" sz="1000"/>
            <a:t>Vigilante</a:t>
          </a:r>
          <a:endParaRPr lang="pt-BR" sz="1000">
            <a:latin typeface="Palatino Linotype" panose="02040502050505030304" pitchFamily="18" charset="0"/>
          </a:endParaRPr>
        </a:p>
      </dgm:t>
    </dgm:pt>
    <dgm:pt modelId="{1B3C2263-D870-47DB-8A65-D4BFD2F9AB12}" type="parTrans" cxnId="{2609390E-79DC-47EE-B2CB-B50937A871F5}">
      <dgm:prSet/>
      <dgm:spPr/>
      <dgm:t>
        <a:bodyPr/>
        <a:lstStyle/>
        <a:p>
          <a:endParaRPr lang="pt-BR"/>
        </a:p>
      </dgm:t>
    </dgm:pt>
    <dgm:pt modelId="{52D642FD-D81E-42EE-B293-4C19050FDDDE}" type="sibTrans" cxnId="{2609390E-79DC-47EE-B2CB-B50937A871F5}">
      <dgm:prSet/>
      <dgm:spPr/>
      <dgm:t>
        <a:bodyPr/>
        <a:lstStyle/>
        <a:p>
          <a:endParaRPr lang="pt-BR"/>
        </a:p>
      </dgm:t>
    </dgm:pt>
    <dgm:pt modelId="{8BED036C-0C1E-4C4F-A06A-233674040F67}">
      <dgm:prSet phldrT="[Texto]" custT="1"/>
      <dgm:spPr/>
      <dgm:t>
        <a:bodyPr/>
        <a:lstStyle/>
        <a:p>
          <a:r>
            <a:rPr lang="pt-BR" sz="1100" b="1">
              <a:latin typeface="Palatino Linotype" panose="02040502050505030304" pitchFamily="18" charset="0"/>
            </a:rPr>
            <a:t>RESCISÃO</a:t>
          </a:r>
          <a:r>
            <a:rPr lang="pt-BR" sz="1100">
              <a:latin typeface="Palatino Linotype" panose="02040502050505030304" pitchFamily="18" charset="0"/>
            </a:rPr>
            <a:t>:</a:t>
          </a:r>
          <a:br>
            <a:rPr lang="pt-BR" sz="1100">
              <a:latin typeface="Palatino Linotype" panose="02040502050505030304" pitchFamily="18" charset="0"/>
            </a:rPr>
          </a:br>
          <a:r>
            <a:rPr lang="pt-BR" sz="1000">
              <a:latin typeface="Palatino Linotype" panose="02040502050505030304" pitchFamily="18" charset="0"/>
            </a:rPr>
            <a:t>{{ data_rescisão }}</a:t>
          </a:r>
        </a:p>
      </dgm:t>
    </dgm:pt>
    <dgm:pt modelId="{BAD782F2-C45C-4930-9FD7-9100261F11EF}" type="sibTrans" cxnId="{E9F69445-CBA0-4C83-8386-2CD17670AAE6}">
      <dgm:prSet/>
      <dgm:spPr/>
      <dgm:t>
        <a:bodyPr/>
        <a:lstStyle/>
        <a:p>
          <a:endParaRPr lang="pt-BR"/>
        </a:p>
      </dgm:t>
    </dgm:pt>
    <dgm:pt modelId="{16040144-6D04-4DD5-A282-CE4A492B45D5}" type="parTrans" cxnId="{E9F69445-CBA0-4C83-8386-2CD17670AAE6}">
      <dgm:prSet/>
      <dgm:spPr/>
      <dgm:t>
        <a:bodyPr/>
        <a:lstStyle/>
        <a:p>
          <a:endParaRPr lang="pt-BR"/>
        </a:p>
      </dgm:t>
    </dgm:pt>
    <dgm:pt modelId="{4A9B1562-B421-4B4A-96F0-F37377451642}" type="pres">
      <dgm:prSet presAssocID="{455F37DF-557D-40ED-B0AC-45A239E61B99}" presName="Name0" presStyleCnt="0">
        <dgm:presLayoutVars>
          <dgm:dir/>
          <dgm:animLvl val="lvl"/>
          <dgm:resizeHandles val="exact"/>
        </dgm:presLayoutVars>
      </dgm:prSet>
      <dgm:spPr/>
    </dgm:pt>
    <dgm:pt modelId="{706E6808-F7A0-46A0-9760-A1B6F734290A}" type="pres">
      <dgm:prSet presAssocID="{FED1AE61-81F6-4EE3-AA4B-849DAE8DD5D1}" presName="parTxOnly" presStyleLbl="node1" presStyleIdx="0" presStyleCnt="3" custScaleX="89049" custScaleY="92755">
        <dgm:presLayoutVars>
          <dgm:chMax val="0"/>
          <dgm:chPref val="0"/>
          <dgm:bulletEnabled val="1"/>
        </dgm:presLayoutVars>
      </dgm:prSet>
      <dgm:spPr/>
    </dgm:pt>
    <dgm:pt modelId="{588BD2C3-4653-4584-B5E4-201B8F2C4493}" type="pres">
      <dgm:prSet presAssocID="{80E2F81C-16F6-4064-A045-F0811830AF51}" presName="parTxOnlySpace" presStyleCnt="0"/>
      <dgm:spPr/>
    </dgm:pt>
    <dgm:pt modelId="{85B7A2FE-AB15-4B16-941D-119F9CB5A322}" type="pres">
      <dgm:prSet presAssocID="{B25332B1-7562-4216-9D35-65737F4666D9}" presName="parTxOnly" presStyleLbl="node1" presStyleIdx="1" presStyleCnt="3" custScaleX="83103" custScaleY="92755">
        <dgm:presLayoutVars>
          <dgm:chMax val="0"/>
          <dgm:chPref val="0"/>
          <dgm:bulletEnabled val="1"/>
        </dgm:presLayoutVars>
      </dgm:prSet>
      <dgm:spPr/>
    </dgm:pt>
    <dgm:pt modelId="{2B857144-92E5-42B7-8B11-A519E568CE32}" type="pres">
      <dgm:prSet presAssocID="{52D642FD-D81E-42EE-B293-4C19050FDDDE}" presName="parTxOnlySpace" presStyleCnt="0"/>
      <dgm:spPr/>
    </dgm:pt>
    <dgm:pt modelId="{EC8219E3-7A61-4F5D-8A48-1725B9CFFBD5}" type="pres">
      <dgm:prSet presAssocID="{8BED036C-0C1E-4C4F-A06A-233674040F67}" presName="parTxOnly" presStyleLbl="node1" presStyleIdx="2" presStyleCnt="3" custScaleY="92755">
        <dgm:presLayoutVars>
          <dgm:chMax val="0"/>
          <dgm:chPref val="0"/>
          <dgm:bulletEnabled val="1"/>
        </dgm:presLayoutVars>
      </dgm:prSet>
      <dgm:spPr/>
    </dgm:pt>
  </dgm:ptLst>
  <dgm:cxnLst>
    <dgm:cxn modelId="{2609390E-79DC-47EE-B2CB-B50937A871F5}" srcId="{455F37DF-557D-40ED-B0AC-45A239E61B99}" destId="{B25332B1-7562-4216-9D35-65737F4666D9}" srcOrd="1" destOrd="0" parTransId="{1B3C2263-D870-47DB-8A65-D4BFD2F9AB12}" sibTransId="{52D642FD-D81E-42EE-B293-4C19050FDDDE}"/>
    <dgm:cxn modelId="{A7A5192C-7C3C-4375-93F9-AF7D161C15C2}" srcId="{455F37DF-557D-40ED-B0AC-45A239E61B99}" destId="{FED1AE61-81F6-4EE3-AA4B-849DAE8DD5D1}" srcOrd="0" destOrd="0" parTransId="{E0F94102-4FA2-4FAC-8A30-59EEF4786A38}" sibTransId="{80E2F81C-16F6-4064-A045-F0811830AF51}"/>
    <dgm:cxn modelId="{E9F69445-CBA0-4C83-8386-2CD17670AAE6}" srcId="{455F37DF-557D-40ED-B0AC-45A239E61B99}" destId="{8BED036C-0C1E-4C4F-A06A-233674040F67}" srcOrd="2" destOrd="0" parTransId="{16040144-6D04-4DD5-A282-CE4A492B45D5}" sibTransId="{BAD782F2-C45C-4930-9FD7-9100261F11EF}"/>
    <dgm:cxn modelId="{DCB96958-EACE-4BBF-8DAF-AD97CFBD49F0}" type="presOf" srcId="{FED1AE61-81F6-4EE3-AA4B-849DAE8DD5D1}" destId="{706E6808-F7A0-46A0-9760-A1B6F734290A}" srcOrd="0" destOrd="0" presId="urn:microsoft.com/office/officeart/2005/8/layout/chevron1"/>
    <dgm:cxn modelId="{935F797A-7FC0-4A7A-A574-A92D30520F7E}" type="presOf" srcId="{455F37DF-557D-40ED-B0AC-45A239E61B99}" destId="{4A9B1562-B421-4B4A-96F0-F37377451642}" srcOrd="0" destOrd="0" presId="urn:microsoft.com/office/officeart/2005/8/layout/chevron1"/>
    <dgm:cxn modelId="{DEE89190-37AE-45C3-9CFB-182DE606B367}" type="presOf" srcId="{8BED036C-0C1E-4C4F-A06A-233674040F67}" destId="{EC8219E3-7A61-4F5D-8A48-1725B9CFFBD5}" srcOrd="0" destOrd="0" presId="urn:microsoft.com/office/officeart/2005/8/layout/chevron1"/>
    <dgm:cxn modelId="{47C65CFC-B554-4EB2-A855-AAECBB4CEF5F}" type="presOf" srcId="{B25332B1-7562-4216-9D35-65737F4666D9}" destId="{85B7A2FE-AB15-4B16-941D-119F9CB5A322}" srcOrd="0" destOrd="0" presId="urn:microsoft.com/office/officeart/2005/8/layout/chevron1"/>
    <dgm:cxn modelId="{58D947BC-20EE-4B46-9115-326FF460140B}" type="presParOf" srcId="{4A9B1562-B421-4B4A-96F0-F37377451642}" destId="{706E6808-F7A0-46A0-9760-A1B6F734290A}" srcOrd="0" destOrd="0" presId="urn:microsoft.com/office/officeart/2005/8/layout/chevron1"/>
    <dgm:cxn modelId="{E9166B5F-BA6F-4D89-8287-B4234FA406D2}" type="presParOf" srcId="{4A9B1562-B421-4B4A-96F0-F37377451642}" destId="{588BD2C3-4653-4584-B5E4-201B8F2C4493}" srcOrd="1" destOrd="0" presId="urn:microsoft.com/office/officeart/2005/8/layout/chevron1"/>
    <dgm:cxn modelId="{2C088285-532A-4233-BDFF-910CF0034975}" type="presParOf" srcId="{4A9B1562-B421-4B4A-96F0-F37377451642}" destId="{85B7A2FE-AB15-4B16-941D-119F9CB5A322}" srcOrd="2" destOrd="0" presId="urn:microsoft.com/office/officeart/2005/8/layout/chevron1"/>
    <dgm:cxn modelId="{E0C266E6-A339-4964-AB2B-1F1158561247}" type="presParOf" srcId="{4A9B1562-B421-4B4A-96F0-F37377451642}" destId="{2B857144-92E5-42B7-8B11-A519E568CE32}" srcOrd="3" destOrd="0" presId="urn:microsoft.com/office/officeart/2005/8/layout/chevron1"/>
    <dgm:cxn modelId="{44C5AC12-FAF4-41EC-8304-9A9CC0BCE104}" type="presParOf" srcId="{4A9B1562-B421-4B4A-96F0-F37377451642}" destId="{EC8219E3-7A61-4F5D-8A48-1725B9CFFBD5}" srcOrd="4" destOrd="0" presId="urn:microsoft.com/office/officeart/2005/8/layout/chevr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6E6808-F7A0-46A0-9760-A1B6F734290A}">
      <dsp:nvSpPr>
        <dsp:cNvPr id="0" name=""/>
        <dsp:cNvSpPr/>
      </dsp:nvSpPr>
      <dsp:spPr>
        <a:xfrm>
          <a:off x="760" y="0"/>
          <a:ext cx="2090856" cy="558800"/>
        </a:xfrm>
        <a:prstGeom prst="chevr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pt-BR" sz="1000" b="1" kern="1200">
              <a:latin typeface="Palatino Linotype" panose="02040502050505030304" pitchFamily="18" charset="0"/>
            </a:rPr>
            <a:t>ADMISSÃO:</a:t>
          </a:r>
          <a:br>
            <a:rPr lang="pt-BR" sz="1000" kern="1200">
              <a:latin typeface="Palatino Linotype" panose="02040502050505030304" pitchFamily="18" charset="0"/>
            </a:rPr>
          </a:br>
          <a:r>
            <a:rPr lang="pt-BR" sz="1000" kern="1200"/>
            <a:t>{{ data_admissao }}, </a:t>
          </a:r>
          <a:endParaRPr lang="pt-BR" sz="1000" kern="1200">
            <a:latin typeface="Palatino Linotype" panose="02040502050505030304" pitchFamily="18" charset="0"/>
          </a:endParaRPr>
        </a:p>
      </dsp:txBody>
      <dsp:txXfrm>
        <a:off x="280160" y="0"/>
        <a:ext cx="1532056" cy="558800"/>
      </dsp:txXfrm>
    </dsp:sp>
    <dsp:sp modelId="{85B7A2FE-AB15-4B16-941D-119F9CB5A322}">
      <dsp:nvSpPr>
        <dsp:cNvPr id="0" name=""/>
        <dsp:cNvSpPr/>
      </dsp:nvSpPr>
      <dsp:spPr>
        <a:xfrm>
          <a:off x="1856818" y="0"/>
          <a:ext cx="1951245" cy="558800"/>
        </a:xfrm>
        <a:prstGeom prst="chevr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pt-BR" sz="1000" b="1" kern="1200">
              <a:latin typeface="Palatino Linotype" panose="02040502050505030304" pitchFamily="18" charset="0"/>
            </a:rPr>
            <a:t>FUNÇÃO:</a:t>
          </a:r>
          <a:br>
            <a:rPr lang="pt-BR" sz="1000" kern="1200">
              <a:latin typeface="Palatino Linotype" panose="02040502050505030304" pitchFamily="18" charset="0"/>
            </a:rPr>
          </a:br>
          <a:r>
            <a:rPr lang="pt-BR" sz="1000" kern="1200"/>
            <a:t>Vigilante</a:t>
          </a:r>
          <a:endParaRPr lang="pt-BR" sz="1000" kern="1200">
            <a:latin typeface="Palatino Linotype" panose="02040502050505030304" pitchFamily="18" charset="0"/>
          </a:endParaRPr>
        </a:p>
      </dsp:txBody>
      <dsp:txXfrm>
        <a:off x="2136218" y="0"/>
        <a:ext cx="1392445" cy="558800"/>
      </dsp:txXfrm>
    </dsp:sp>
    <dsp:sp modelId="{EC8219E3-7A61-4F5D-8A48-1725B9CFFBD5}">
      <dsp:nvSpPr>
        <dsp:cNvPr id="0" name=""/>
        <dsp:cNvSpPr/>
      </dsp:nvSpPr>
      <dsp:spPr>
        <a:xfrm>
          <a:off x="3573265" y="0"/>
          <a:ext cx="2347984" cy="558800"/>
        </a:xfrm>
        <a:prstGeom prst="chevr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pt-BR" sz="1100" b="1" kern="1200">
              <a:latin typeface="Palatino Linotype" panose="02040502050505030304" pitchFamily="18" charset="0"/>
            </a:rPr>
            <a:t>RESCISÃO</a:t>
          </a:r>
          <a:r>
            <a:rPr lang="pt-BR" sz="1100" kern="1200">
              <a:latin typeface="Palatino Linotype" panose="02040502050505030304" pitchFamily="18" charset="0"/>
            </a:rPr>
            <a:t>:</a:t>
          </a:r>
          <a:br>
            <a:rPr lang="pt-BR" sz="1100" kern="1200">
              <a:latin typeface="Palatino Linotype" panose="02040502050505030304" pitchFamily="18" charset="0"/>
            </a:rPr>
          </a:br>
          <a:r>
            <a:rPr lang="pt-BR" sz="1000" kern="1200">
              <a:latin typeface="Palatino Linotype" panose="02040502050505030304" pitchFamily="18" charset="0"/>
            </a:rPr>
            <a:t>{{ data_rescisão }}</a:t>
          </a:r>
        </a:p>
      </dsp:txBody>
      <dsp:txXfrm>
        <a:off x="3852665" y="0"/>
        <a:ext cx="1789184" cy="5588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1547</TotalTime>
  <Pages>16</Pages>
  <Words>5555</Words>
  <Characters>30002</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Jonilson Vilela</cp:lastModifiedBy>
  <cp:revision>439</cp:revision>
  <cp:lastPrinted>2026-01-30T17:20:00Z</cp:lastPrinted>
  <dcterms:created xsi:type="dcterms:W3CDTF">2025-03-19T21:29:00Z</dcterms:created>
  <dcterms:modified xsi:type="dcterms:W3CDTF">2026-02-03T15:08:00Z</dcterms:modified>
</cp:coreProperties>
</file>