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2E6A" w14:textId="106609E3" w:rsidR="002A1118" w:rsidRPr="00B86E1E" w:rsidRDefault="00255631" w:rsidP="00F32567">
      <w:pPr>
        <w:ind w:firstLine="0"/>
        <w:rPr>
          <w:rFonts w:eastAsiaTheme="majorEastAsia" w:cstheme="majorBidi"/>
          <w:b/>
          <w:iCs/>
          <w:caps/>
          <w:color w:val="324664"/>
        </w:rPr>
      </w:pPr>
      <w:r w:rsidRPr="00255631">
        <w:rPr>
          <w:rFonts w:eastAsiaTheme="majorEastAsia" w:cstheme="majorBidi"/>
          <w:b/>
          <w:iCs/>
          <w:caps/>
          <w:color w:val="324664"/>
        </w:rPr>
        <w:t xml:space="preserve">AO DOUTO JUÍZO DA </w:t>
      </w:r>
      <w:r w:rsidR="00474946">
        <w:rPr>
          <w:rFonts w:eastAsiaTheme="majorEastAsia" w:cstheme="majorBidi"/>
          <w:b/>
          <w:iCs/>
          <w:caps/>
          <w:color w:val="324664"/>
        </w:rPr>
        <w:t>6</w:t>
      </w:r>
      <w:r w:rsidR="00C7229C" w:rsidRPr="00C7229C">
        <w:rPr>
          <w:rFonts w:eastAsiaTheme="majorEastAsia" w:cstheme="majorBidi"/>
          <w:b/>
          <w:iCs/>
          <w:caps/>
          <w:color w:val="324664"/>
        </w:rPr>
        <w:t>ª Vara do Trabalho de Natal</w:t>
      </w:r>
    </w:p>
    <w:p w14:paraId="457CE30A" w14:textId="73FAF873" w:rsidR="008C3F05" w:rsidRPr="009C7788" w:rsidRDefault="00F32567" w:rsidP="007C48B3">
      <w:pPr>
        <w:spacing w:after="0"/>
        <w:ind w:firstLine="0"/>
        <w:rPr>
          <w:rFonts w:cs="Arial"/>
        </w:rPr>
      </w:pPr>
      <w:r w:rsidRPr="005C3794">
        <w:t>Processo nº</w:t>
      </w:r>
      <w:r w:rsidR="00F974A6">
        <w:t xml:space="preserve"> </w:t>
      </w:r>
      <w:r w:rsidR="00474946" w:rsidRPr="009C7788">
        <w:rPr>
          <w:rFonts w:cs="Arial"/>
        </w:rPr>
        <w:t>0000646-11.2025.5.21.0006</w:t>
      </w:r>
    </w:p>
    <w:p w14:paraId="523937F5" w14:textId="74C3BC83" w:rsidR="0037208D" w:rsidRDefault="00B86E1E" w:rsidP="00095420">
      <w:pPr>
        <w:spacing w:after="0"/>
        <w:ind w:firstLine="0"/>
        <w:rPr>
          <w:rFonts w:cs="Arial"/>
        </w:rPr>
      </w:pPr>
      <w:r>
        <w:rPr>
          <w:rFonts w:cs="Arial"/>
        </w:rPr>
        <w:t>Reclamante</w:t>
      </w:r>
      <w:r w:rsidR="001E1DAC" w:rsidRPr="001E1DAC">
        <w:rPr>
          <w:rFonts w:cs="Arial"/>
        </w:rPr>
        <w:t xml:space="preserve">: </w:t>
      </w:r>
      <w:r w:rsidR="00474946" w:rsidRPr="00474946">
        <w:rPr>
          <w:rFonts w:cs="Arial"/>
        </w:rPr>
        <w:t>CICERO OTAVIANO DA CRUZ</w:t>
      </w:r>
    </w:p>
    <w:p w14:paraId="166FEFB9" w14:textId="74513C12" w:rsidR="00442FDA" w:rsidRPr="002A1118" w:rsidRDefault="00AC5646" w:rsidP="002A1118">
      <w:pPr>
        <w:spacing w:after="0"/>
        <w:ind w:firstLine="0"/>
        <w:rPr>
          <w:rFonts w:cs="Arial"/>
        </w:rPr>
      </w:pPr>
      <w:r>
        <w:rPr>
          <w:rFonts w:cs="Arial"/>
        </w:rPr>
        <w:t>Reclamado</w:t>
      </w:r>
      <w:r w:rsidR="001E1DAC" w:rsidRPr="001E1DAC">
        <w:rPr>
          <w:rFonts w:cs="Arial"/>
        </w:rPr>
        <w:t xml:space="preserve">: </w:t>
      </w:r>
      <w:r w:rsidR="00025E07" w:rsidRPr="001E1DAC">
        <w:rPr>
          <w:rFonts w:cs="Arial"/>
        </w:rPr>
        <w:t>BANCO DO BRASIL S.A.</w:t>
      </w:r>
      <w:r w:rsidR="008F5BF1">
        <w:rPr>
          <w:rFonts w:cs="Arial"/>
        </w:rPr>
        <w:t xml:space="preserve"> e </w:t>
      </w:r>
      <w:r w:rsidR="003849E3">
        <w:rPr>
          <w:rFonts w:cs="Arial"/>
        </w:rPr>
        <w:t>outra</w:t>
      </w:r>
      <w:r w:rsidR="0037208D">
        <w:rPr>
          <w:rFonts w:cs="Arial"/>
        </w:rPr>
        <w:t>s</w:t>
      </w:r>
      <w:r w:rsidR="003849E3">
        <w:rPr>
          <w:rFonts w:cs="Arial"/>
        </w:rPr>
        <w:t>.</w:t>
      </w:r>
    </w:p>
    <w:p w14:paraId="75836D2F" w14:textId="77777777" w:rsidR="00790AFC" w:rsidRDefault="00790AFC" w:rsidP="00F32567">
      <w:pPr>
        <w:ind w:firstLine="0"/>
        <w:rPr>
          <w:rFonts w:cs="Arial"/>
          <w:b/>
        </w:rPr>
      </w:pPr>
    </w:p>
    <w:p w14:paraId="282EEFEA" w14:textId="6415EFE9" w:rsidR="002F7ACB" w:rsidRPr="009C33A7" w:rsidRDefault="00F32567" w:rsidP="009C33A7">
      <w:pPr>
        <w:rPr>
          <w:bCs/>
        </w:rPr>
      </w:pPr>
      <w:r w:rsidRPr="00B848DD">
        <w:rPr>
          <w:b/>
          <w:color w:val="1F3864" w:themeColor="accent1" w:themeShade="80"/>
        </w:rPr>
        <w:t>BANCO DO BRASIL</w:t>
      </w:r>
      <w:r w:rsidRPr="005814DB">
        <w:t xml:space="preserve">, instituição financeira sob a forma de sociedade de economia mista, inscrita no CNPJ/MF sob nº 00.000.000/0001-91, com sede em Brasília, Distrito Federal, sito no SBS, Quadra 4, Lote 32, Bloco C, onde receber citações e intimações, nos autos do processo em epígrafe, vem, por seu advogado subscrito, constituído nos precisos termos do instrumento procuratório anexo, apresentar </w:t>
      </w:r>
      <w:r w:rsidR="009C33A7" w:rsidRPr="009C33A7">
        <w:rPr>
          <w:b/>
          <w:color w:val="1F3864" w:themeColor="accent1" w:themeShade="80"/>
        </w:rPr>
        <w:t>EMBARGOS DE DECLARAÇÃO</w:t>
      </w:r>
      <w:r w:rsidRPr="005814DB">
        <w:t>, pelos fatos e fundamentos a seguir expostos:</w:t>
      </w:r>
    </w:p>
    <w:p w14:paraId="59099A7F" w14:textId="499DDFC2" w:rsidR="009C33A7" w:rsidRPr="009C33A7" w:rsidRDefault="009C33A7" w:rsidP="009C33A7">
      <w:pPr>
        <w:ind w:firstLine="0"/>
      </w:pPr>
    </w:p>
    <w:p w14:paraId="6078F22C" w14:textId="0E8C850F" w:rsidR="009C33A7" w:rsidRPr="009C33A7" w:rsidRDefault="009C33A7" w:rsidP="009C33A7">
      <w:pPr>
        <w:pStyle w:val="Ttulo1"/>
      </w:pPr>
      <w:r w:rsidRPr="009C33A7">
        <w:t>Cabimento</w:t>
      </w:r>
    </w:p>
    <w:p w14:paraId="372230C7" w14:textId="0C4028A2" w:rsidR="0094523A" w:rsidRDefault="009C33A7" w:rsidP="0094523A">
      <w:r w:rsidRPr="009C33A7">
        <w:t xml:space="preserve">O presente recurso é tempestivo e adequado, tendo em vista que a decisão atacada contém </w:t>
      </w:r>
      <w:r w:rsidRPr="009C33A7">
        <w:rPr>
          <w:bCs/>
        </w:rPr>
        <w:t>omissão e contradição relevantes</w:t>
      </w:r>
      <w:r w:rsidRPr="009C33A7">
        <w:t xml:space="preserve"> quanto à aplicação da jurisprudência vinculante do Supremo Tribunal Federal, em especial a tese firmada no </w:t>
      </w:r>
      <w:r w:rsidRPr="009C33A7">
        <w:rPr>
          <w:bCs/>
        </w:rPr>
        <w:t>Tema 1118 da Repercussão Geral</w:t>
      </w:r>
      <w:r w:rsidR="0094523A">
        <w:t xml:space="preserve"> e quanto a alegação de manutenção voluntaria do contrato e medidas ineficientes de fiscalização, quando tratava-se de manutenção decorrente de determinação judicial. </w:t>
      </w:r>
    </w:p>
    <w:p w14:paraId="56E8BD3F" w14:textId="77777777" w:rsidR="00A94C70" w:rsidRDefault="00A94C70" w:rsidP="0094523A"/>
    <w:p w14:paraId="008B265F" w14:textId="3AB73024" w:rsidR="00725ABA" w:rsidRPr="00725ABA" w:rsidRDefault="00725ABA" w:rsidP="00725ABA">
      <w:pPr>
        <w:pStyle w:val="Ttulo1"/>
      </w:pPr>
      <w:r w:rsidRPr="00725ABA">
        <w:t>Da omissão quanto à incidência do Tema 1118 à época do ajuizamento</w:t>
      </w:r>
      <w:r w:rsidR="006509F3">
        <w:t xml:space="preserve"> </w:t>
      </w:r>
      <w:r w:rsidR="006509F3" w:rsidRPr="006509F3">
        <w:t>(OMISSÃO E PEDIDO DE INTEGRAÇÃO)</w:t>
      </w:r>
    </w:p>
    <w:p w14:paraId="6CE9882D" w14:textId="77777777" w:rsidR="001F6F23" w:rsidRDefault="00FC70C9" w:rsidP="00FC70C9">
      <w:r w:rsidRPr="00FC70C9">
        <w:t xml:space="preserve">Impende salientar, de início, relevante omissão no julgado quanto ao marco temporal de incidência da tese firmada pelo Supremo Tribunal Federal no Tema 1118 de repercussão geral. </w:t>
      </w:r>
    </w:p>
    <w:p w14:paraId="416E98B1" w14:textId="2FDFB9B4" w:rsidR="001F6F23" w:rsidRDefault="00FC70C9" w:rsidP="00FC70C9">
      <w:r w:rsidRPr="00FC70C9">
        <w:t>Consta da sentença que o Recurso Extraordinário 1.298.647, paradigma do Tema 1118, foi julgado em 13/02/2025, com publicação em 15/04/2025, e que, para os fatos geradores anteriores a essa data, o ônus da prova da fiscalização recairia sobre o ente público, com base n</w:t>
      </w:r>
      <w:r w:rsidR="006B0237">
        <w:t>os</w:t>
      </w:r>
      <w:r w:rsidRPr="00FC70C9">
        <w:t xml:space="preserve"> </w:t>
      </w:r>
      <w:r w:rsidR="006B0237" w:rsidRPr="006B0237">
        <w:t>precedente</w:t>
      </w:r>
      <w:r w:rsidR="006B0237">
        <w:t>s</w:t>
      </w:r>
      <w:r w:rsidR="006B0237" w:rsidRPr="006B0237">
        <w:t xml:space="preserve"> da 1ª Turma do E. TRT</w:t>
      </w:r>
      <w:r w:rsidRPr="00FC70C9">
        <w:t xml:space="preserve">. </w:t>
      </w:r>
    </w:p>
    <w:p w14:paraId="1DD6A1EA" w14:textId="062F0950" w:rsidR="00725ABA" w:rsidRDefault="00FC70C9" w:rsidP="00FC70C9">
      <w:r w:rsidRPr="00FC70C9">
        <w:t xml:space="preserve">Todavia, à época do ajuizamento da presente ação, o caso já se encontrava abrangido pelo regime vinculante do Tema 1118, </w:t>
      </w:r>
      <w:r w:rsidR="00C9660E">
        <w:t>assim como</w:t>
      </w:r>
      <w:r w:rsidR="006B0237">
        <w:t xml:space="preserve"> os fatos geradores (verbas rescisórias</w:t>
      </w:r>
      <w:r w:rsidR="00C9660E">
        <w:t>)</w:t>
      </w:r>
      <w:r w:rsidR="006B0237">
        <w:t xml:space="preserve"> também decorreram posteriormente ao tema</w:t>
      </w:r>
      <w:r w:rsidRPr="00FC70C9">
        <w:t>.</w:t>
      </w:r>
    </w:p>
    <w:p w14:paraId="68AA025B" w14:textId="77777777" w:rsidR="00C9660E" w:rsidRDefault="00C9660E" w:rsidP="00FC70C9"/>
    <w:p w14:paraId="708B0D72" w14:textId="77777777" w:rsidR="005B4682" w:rsidRDefault="00FC70C9" w:rsidP="00FC70C9">
      <w:r w:rsidRPr="00FC70C9">
        <w:t xml:space="preserve">Com efeito, à data </w:t>
      </w:r>
      <w:r w:rsidR="005B4682">
        <w:t>em que surge a questão trabalhista, assim como da</w:t>
      </w:r>
      <w:r w:rsidRPr="00FC70C9">
        <w:t xml:space="preserve"> propositura da demanda, o STF já havia fixado a tese de que não se admite condenação subsidiária da Administração Pública, ou de sociedade de economia mista sujeita a regime de licitação, fundada exclusivamente na inversão do ônus da prova, impondo-se ao trabalhador o encargo de demonstrar a negligência na fiscalização e o nexo causal entre a conduta omissiva e o dano. </w:t>
      </w:r>
    </w:p>
    <w:p w14:paraId="3EE8A8E1" w14:textId="77777777" w:rsidR="008F4E12" w:rsidRPr="008F4E12" w:rsidRDefault="008F4E12" w:rsidP="00875A9C">
      <w:pPr>
        <w:pStyle w:val="PargrafodaLista"/>
        <w:numPr>
          <w:ilvl w:val="0"/>
          <w:numId w:val="38"/>
        </w:numPr>
        <w:ind w:left="709"/>
      </w:pPr>
      <w:r w:rsidRPr="008F4E12">
        <w:t>Julgamento: 13/02/2025</w:t>
      </w:r>
    </w:p>
    <w:p w14:paraId="7360CCDA" w14:textId="42ABA4F7" w:rsidR="008F4E12" w:rsidRDefault="008F4E12" w:rsidP="00875A9C">
      <w:pPr>
        <w:pStyle w:val="PargrafodaLista"/>
        <w:numPr>
          <w:ilvl w:val="0"/>
          <w:numId w:val="38"/>
        </w:numPr>
        <w:ind w:left="709"/>
      </w:pPr>
      <w:r w:rsidRPr="008F4E12">
        <w:t>Publicação do acórdão - Tema 1118: 15/04/2025</w:t>
      </w:r>
    </w:p>
    <w:p w14:paraId="509C475B" w14:textId="617CE9B6" w:rsidR="008F4E12" w:rsidRPr="008F4E12" w:rsidRDefault="008F4E12" w:rsidP="00875A9C">
      <w:pPr>
        <w:pStyle w:val="PargrafodaLista"/>
        <w:numPr>
          <w:ilvl w:val="0"/>
          <w:numId w:val="38"/>
        </w:numPr>
        <w:ind w:left="709"/>
      </w:pPr>
      <w:r w:rsidRPr="008F4E12">
        <w:t>Fim contrato: 23/04/2025</w:t>
      </w:r>
      <w:r>
        <w:t xml:space="preserve"> (fato gerador) </w:t>
      </w:r>
    </w:p>
    <w:p w14:paraId="28974EF2" w14:textId="301593EA" w:rsidR="007C33AF" w:rsidRDefault="008F4E12" w:rsidP="00875A9C">
      <w:pPr>
        <w:pStyle w:val="PargrafodaLista"/>
        <w:numPr>
          <w:ilvl w:val="0"/>
          <w:numId w:val="38"/>
        </w:numPr>
        <w:ind w:left="709"/>
      </w:pPr>
      <w:r w:rsidRPr="008F4E12">
        <w:t>Ajuizamento da ação: 17/06/2025</w:t>
      </w:r>
    </w:p>
    <w:p w14:paraId="180ED9F7" w14:textId="06544C44" w:rsidR="00FC70C9" w:rsidRDefault="00BB2F18" w:rsidP="00EA53E8">
      <w:r w:rsidRPr="00BB2F18">
        <w:t>Outro ponto que requer integração refere-se à utilização</w:t>
      </w:r>
      <w:r w:rsidR="00EA53E8">
        <w:t xml:space="preserve"> </w:t>
      </w:r>
      <w:r w:rsidRPr="00BB2F18">
        <w:t>de precedente da 1ª Turma do Egrégio TRT da 21ª para sustentar que</w:t>
      </w:r>
      <w:r w:rsidR="00EA53E8">
        <w:t xml:space="preserve"> </w:t>
      </w:r>
      <w:r w:rsidRPr="00BB2F18">
        <w:t>o ônus da prova da fiscalização permaneceria com o ente público. Ocorre que o aresto regional colacionado não versa sobre a modulação temporal dos efeitos do Tema 1118</w:t>
      </w:r>
      <w:r w:rsidR="00051DE8">
        <w:t>, vez que todos foram julgados em momento anterior ao tema, junta</w:t>
      </w:r>
      <w:r w:rsidR="00757565">
        <w:t>-se</w:t>
      </w:r>
      <w:r w:rsidR="00F021AF">
        <w:t xml:space="preserve"> de forma simplificada para demonstrar que a época dos julgados não seria possível </w:t>
      </w:r>
      <w:r w:rsidR="00757565">
        <w:t>enfrentar a questão</w:t>
      </w:r>
      <w:r w:rsidR="00EA53E8">
        <w:t xml:space="preserve">: </w:t>
      </w:r>
    </w:p>
    <w:p w14:paraId="4CA41F71" w14:textId="13E817CC" w:rsidR="00AC02B4" w:rsidRPr="00AC02B4" w:rsidRDefault="00AC02B4" w:rsidP="00AC02B4">
      <w:pPr>
        <w:pStyle w:val="PargrafodaLista"/>
        <w:numPr>
          <w:ilvl w:val="0"/>
          <w:numId w:val="38"/>
        </w:numPr>
        <w:ind w:left="709"/>
      </w:pPr>
      <w:r w:rsidRPr="00AC02B4">
        <w:t>0000801 82.2023.5.21.0006 - Acórdão anterior a existência do tema (30/01/2025) </w:t>
      </w:r>
    </w:p>
    <w:p w14:paraId="5878C69F" w14:textId="2C3FF33F" w:rsidR="00AC02B4" w:rsidRPr="00AC02B4" w:rsidRDefault="00AC02B4" w:rsidP="00AC02B4">
      <w:pPr>
        <w:pStyle w:val="PargrafodaLista"/>
        <w:numPr>
          <w:ilvl w:val="0"/>
          <w:numId w:val="38"/>
        </w:numPr>
        <w:ind w:left="709"/>
      </w:pPr>
      <w:r w:rsidRPr="00AC02B4">
        <w:t>0000470 69.2024.5.21.0005 - Acórdão anterior a existência do tema (29/06/2024) </w:t>
      </w:r>
    </w:p>
    <w:p w14:paraId="4573A59E" w14:textId="772E41D3" w:rsidR="00AC02B4" w:rsidRPr="00AC02B4" w:rsidRDefault="00AC02B4" w:rsidP="00AC02B4">
      <w:pPr>
        <w:pStyle w:val="PargrafodaLista"/>
        <w:numPr>
          <w:ilvl w:val="0"/>
          <w:numId w:val="38"/>
        </w:numPr>
        <w:ind w:left="709"/>
      </w:pPr>
      <w:r w:rsidRPr="00AC02B4">
        <w:t>0000208 95.2024.5.21.0013 - Acórdão anterior a existência do tema (21/11/2024) </w:t>
      </w:r>
    </w:p>
    <w:p w14:paraId="644AED21" w14:textId="56794C6A" w:rsidR="00AC02B4" w:rsidRPr="00AC02B4" w:rsidRDefault="00AC02B4" w:rsidP="00AC02B4">
      <w:pPr>
        <w:pStyle w:val="PargrafodaLista"/>
        <w:numPr>
          <w:ilvl w:val="0"/>
          <w:numId w:val="38"/>
        </w:numPr>
        <w:ind w:left="709"/>
      </w:pPr>
      <w:r w:rsidRPr="00AC02B4">
        <w:t>0000416 79.2024.5.21.0013 - Acórdão anterior a existência do tema (21/11/2024) </w:t>
      </w:r>
    </w:p>
    <w:p w14:paraId="4B8BBC4D" w14:textId="7C89FA87" w:rsidR="00AC02B4" w:rsidRDefault="00AC02B4" w:rsidP="00AC02B4">
      <w:pPr>
        <w:pStyle w:val="PargrafodaLista"/>
        <w:numPr>
          <w:ilvl w:val="0"/>
          <w:numId w:val="38"/>
        </w:numPr>
        <w:ind w:left="709"/>
      </w:pPr>
      <w:r w:rsidRPr="00AC02B4">
        <w:t>0001044</w:t>
      </w:r>
      <w:r>
        <w:t xml:space="preserve"> </w:t>
      </w:r>
      <w:r w:rsidRPr="00AC02B4">
        <w:t>38.2023.5.21.0002 - Acórdão anterior a existência do tema (18/09/2024) </w:t>
      </w:r>
    </w:p>
    <w:p w14:paraId="61978EC9" w14:textId="545D10C4" w:rsidR="00F021AF" w:rsidRDefault="00AC02B4" w:rsidP="00AC02B4">
      <w:pPr>
        <w:pStyle w:val="PargrafodaLista"/>
        <w:numPr>
          <w:ilvl w:val="0"/>
          <w:numId w:val="38"/>
        </w:numPr>
        <w:ind w:left="709"/>
      </w:pPr>
      <w:r w:rsidRPr="00AC02B4">
        <w:t>0000723</w:t>
      </w:r>
      <w:r>
        <w:t xml:space="preserve"> </w:t>
      </w:r>
      <w:r w:rsidRPr="00AC02B4">
        <w:t>03.2023.5.21.0002 - Acórdão anterior a existência do tema (06/06/2024)</w:t>
      </w:r>
    </w:p>
    <w:p w14:paraId="273383F3" w14:textId="7591D840" w:rsidR="00900CDE" w:rsidRDefault="00900CDE" w:rsidP="00B97D93">
      <w:r>
        <w:t>Por outro lado, ao consultar os recentes julgados pelo TST</w:t>
      </w:r>
      <w:r w:rsidR="00AC1734">
        <w:t xml:space="preserve"> é possível verificar que </w:t>
      </w:r>
      <w:r w:rsidR="003C3374">
        <w:t xml:space="preserve">inexiste qualquer discussão </w:t>
      </w:r>
      <w:r w:rsidR="00F17E3B">
        <w:t>sobre modulação</w:t>
      </w:r>
      <w:r w:rsidR="003C3374">
        <w:t xml:space="preserve"> temporal ou de aplicação condicionada </w:t>
      </w:r>
      <w:r w:rsidR="00094803">
        <w:t>ao período do fato gerado</w:t>
      </w:r>
      <w:r w:rsidR="00BC1BD5">
        <w:t>r</w:t>
      </w:r>
      <w:r w:rsidR="00094803">
        <w:t xml:space="preserve">, como verifica-se </w:t>
      </w:r>
      <w:r w:rsidR="00037609">
        <w:t>no julgado</w:t>
      </w:r>
      <w:r w:rsidR="00094803">
        <w:t xml:space="preserve">: </w:t>
      </w:r>
    </w:p>
    <w:p w14:paraId="1F86BB32" w14:textId="4F6BF2A8" w:rsidR="0030294C" w:rsidRPr="0030294C" w:rsidRDefault="0030294C" w:rsidP="0030294C">
      <w:pPr>
        <w:pStyle w:val="SemEspaamento"/>
        <w:keepNext/>
        <w:framePr w:dropCap="drop" w:lines="2" w:wrap="around" w:vAnchor="text" w:hAnchor="text"/>
        <w:spacing w:after="0" w:line="593" w:lineRule="exact"/>
        <w:textAlignment w:val="baseline"/>
        <w:rPr>
          <w:position w:val="-4"/>
          <w:sz w:val="62"/>
        </w:rPr>
      </w:pPr>
      <w:r w:rsidRPr="0030294C">
        <w:rPr>
          <w:position w:val="-4"/>
          <w:sz w:val="62"/>
        </w:rPr>
        <w:t>TST</w:t>
      </w:r>
    </w:p>
    <w:p w14:paraId="50EF6C17" w14:textId="6EA51D8F" w:rsidR="00037609" w:rsidRDefault="00BC1BD5" w:rsidP="00037609">
      <w:pPr>
        <w:pStyle w:val="SemEspaamento"/>
      </w:pPr>
      <w:r>
        <w:t xml:space="preserve"> </w:t>
      </w:r>
      <w:r w:rsidR="00037609" w:rsidRPr="00037609">
        <w:t xml:space="preserve">AGRAVO INTERNO EM RECURSO DE REVISTA. INTERPOSIÇÃO NA VIGÊNCIA DA LEI N.º 13.467/2017. TRANSCENDÊNCIA POLÍTICA RECONHECIDA. RESPONSABILIDADE SUBSIDIÁRIA. ENTE DA ADMINISTRAÇÃO PÚBLICA INDIRETA. ÔNUS DA PROVA. DECISÃO EM CONSONÂNCIA COM O TEMA 1.118 DA TABELA DE REPERCUSSÃO GERAL DO STF. EFEITO VINCULANTE E EFICÁCIA ERGA OMNES. AUSÊNCIA DE MODULAÇÃO DOS EFEITOS. A SBDI-1, com base no princípio da aptidão do ônus da prova, decidiu que, nos casos em que a empresa contratada pela </w:t>
      </w:r>
      <w:r w:rsidR="00037609" w:rsidRPr="00037609">
        <w:lastRenderedPageBreak/>
        <w:t xml:space="preserve">Administração Pública </w:t>
      </w:r>
      <w:proofErr w:type="gramStart"/>
      <w:r w:rsidR="00037609" w:rsidRPr="00037609">
        <w:t>torna-se</w:t>
      </w:r>
      <w:proofErr w:type="gramEnd"/>
      <w:r w:rsidR="00037609" w:rsidRPr="00037609">
        <w:t xml:space="preserve"> inadimplente com os haveres trabalhistas, compete à tomadora dos serviços demonstrar que cumpriu com o seu dever legal de fiscalização para que não seja responsabilizada subsidiariamente. Contudo, após o entendimento firmado no âmbito desta Corte, o STF fixou o Tema n. 1.118 da Repercussão Geral, precedente vinculante (art. 927 do CPC) estabelecendo que remanesce imprescindível a comprovação, pela parte autora, da efetiva existência de comportamento negligente ou nexo de causalidade entre o dano por ela invocado e a conduta comissiva ou omissiva do poder público. </w:t>
      </w:r>
      <w:r w:rsidR="00037609" w:rsidRPr="00037609">
        <w:rPr>
          <w:b/>
          <w:bCs/>
          <w:color w:val="002060"/>
        </w:rPr>
        <w:t>O acórdão no qual foi fixado o aludido Tema 1.118 da Repercussão Geral (RE 1298647) transitou em julgado em 29/04/2025, sem modulação dos efeitos da decisão, ou seja, seu efeito vinculante e eficácia erga omnes, não sofre limitação de ordem temporal, alcançando todas as discussões que ainda sejam passíveis de exame meritório, caso dos autos</w:t>
      </w:r>
      <w:r w:rsidR="00037609" w:rsidRPr="00037609">
        <w:t>. Mantém-se, pois, a decisão Agravada que excluiu a responsabilidade do Poder Público. Agravo conhecido e não provido. (RR-1001480-87.2023.5.02.0008, 1ª Turma, Relator Ministro Luiz Jose Dezena da Silva, DEJT 23/09/2025).</w:t>
      </w:r>
    </w:p>
    <w:p w14:paraId="481977C6" w14:textId="13E0B14D" w:rsidR="00E959AD" w:rsidRDefault="00037609" w:rsidP="00C051AE">
      <w:r>
        <w:t>O mesmo entendimento</w:t>
      </w:r>
      <w:r w:rsidR="003A1556">
        <w:t xml:space="preserve"> encontra-se em outros julgados </w:t>
      </w:r>
      <w:r w:rsidR="00517FEC">
        <w:t>em que citamos</w:t>
      </w:r>
      <w:r w:rsidR="00C051AE">
        <w:t xml:space="preserve"> o recorte específico dos julgados:</w:t>
      </w:r>
      <w:r w:rsidR="00517FEC">
        <w:t xml:space="preserve"> </w:t>
      </w:r>
    </w:p>
    <w:p w14:paraId="7C1A0CE4" w14:textId="24436277" w:rsidR="00E959AD" w:rsidRDefault="00C051AE" w:rsidP="00F43C67">
      <w:pPr>
        <w:pStyle w:val="SemEspaamento"/>
      </w:pPr>
      <w:r w:rsidRPr="00C051AE">
        <w:t xml:space="preserve">Tão somente a título de esclarecimento, </w:t>
      </w:r>
      <w:r w:rsidRPr="00F43C67">
        <w:rPr>
          <w:b/>
          <w:bCs/>
          <w:color w:val="002060"/>
        </w:rPr>
        <w:t>registre-se que não houve modulação dos efeitos da decisão no julgamento do RE nº 1.298.647, de modo que a decisão possui efeitos retroativos.</w:t>
      </w:r>
      <w:r w:rsidRPr="00F43C67">
        <w:rPr>
          <w:color w:val="002060"/>
        </w:rPr>
        <w:t xml:space="preserve"> </w:t>
      </w:r>
      <w:r w:rsidRPr="00C051AE">
        <w:t>O julgamento do Tema 1118 apenas consolidou e explicitou um entendimento que o STF já vinha sinalizando desde o julgamento da ADC 16, e depois reforçado no RE 760.931 (Tema 246 da repercussão geral). Corroborando essa lógica, em julgados supervenientes ao julgamento do Tema nº 246, o STF afastou, de forma expressa, a possibilidade de responsabilização do ente público, sob o fundamento da inversão e atribuição do ônus da prova ao tomador de serviços. As duas Turmas do STF apreciaram reclamações constitucionais em que se deixa claro que, em conformidade com o entendimento firmado no julgamento da ADC 16 e do RE nº 760.931, para responsabilização do Estado, é ônus do trabalhador a comprovação real de comportamento sistematicamente negligente do ente público</w:t>
      </w:r>
      <w:r w:rsidR="001743C6">
        <w:t xml:space="preserve"> </w:t>
      </w:r>
      <w:r w:rsidR="00890A1D">
        <w:t>(</w:t>
      </w:r>
      <w:r w:rsidR="00CE714E" w:rsidRPr="00CE714E">
        <w:t>TST - RR: 00103533020215150064, Relator.: Alexandre Luiz Ramos, Data de Julgamento: 03/08/2025, Data de Publicação: 04/08/2025</w:t>
      </w:r>
      <w:r w:rsidR="00890A1D">
        <w:t>)</w:t>
      </w:r>
      <w:r w:rsidR="00517FEC">
        <w:t xml:space="preserve"> </w:t>
      </w:r>
    </w:p>
    <w:p w14:paraId="30D547F5" w14:textId="1F03DF62" w:rsidR="00CE714E" w:rsidRDefault="001743C6" w:rsidP="00941A08">
      <w:pPr>
        <w:pStyle w:val="SemEspaamento"/>
      </w:pPr>
      <w:r w:rsidRPr="001743C6">
        <w:t xml:space="preserve">Por fim, não prospera a tese do Ministério Público do Trabalho quanto à irretroatividade do entendimento consolidado no Tema 1.118 da Repercussão Geral do STF. O acórdão no qual foi fixado o aludido Tema (RE 1298647) </w:t>
      </w:r>
      <w:r w:rsidRPr="00F43C67">
        <w:rPr>
          <w:b/>
          <w:bCs/>
          <w:color w:val="002060"/>
        </w:rPr>
        <w:t>transitou em julgado em 29/04/2025, sem modulação dos efeitos da decisão, ou seja, seu efeito vinculante e eficácia erga omnes (art. 927, III, do CPC), não sofre limitação de ordem temporal,</w:t>
      </w:r>
      <w:r w:rsidRPr="00F43C67">
        <w:rPr>
          <w:color w:val="002060"/>
        </w:rPr>
        <w:t xml:space="preserve"> </w:t>
      </w:r>
      <w:r w:rsidRPr="001743C6">
        <w:t xml:space="preserve">alcançando todos os processos que ainda sejam </w:t>
      </w:r>
      <w:r w:rsidRPr="001743C6">
        <w:lastRenderedPageBreak/>
        <w:t xml:space="preserve">passíveis de exame meritório, caso dos autos. </w:t>
      </w:r>
      <w:r w:rsidR="00F43C67" w:rsidRPr="00F43C67">
        <w:t>(TST - RR: 00002202020245170014, Relator.: Luiz Jose Dezena Da Silva, Data de Julgamento: 04/08/2025, Data de Publicação: 12/08/2025)</w:t>
      </w:r>
    </w:p>
    <w:p w14:paraId="20FFCBA2" w14:textId="331685DD" w:rsidR="003546D5" w:rsidRPr="009C33A7" w:rsidRDefault="00171547" w:rsidP="00942E3E">
      <w:pPr>
        <w:ind w:firstLine="0"/>
      </w:pPr>
      <w:r>
        <w:tab/>
        <w:t xml:space="preserve">Nesse sentido entende-se pela aplicação </w:t>
      </w:r>
      <w:r w:rsidR="005039A6">
        <w:t xml:space="preserve">do tema 1118 </w:t>
      </w:r>
      <w:r w:rsidR="00846735">
        <w:t xml:space="preserve">visto que o entendimento do TST é de sua aplicação </w:t>
      </w:r>
      <w:r w:rsidR="00846735" w:rsidRPr="009A4CB9">
        <w:rPr>
          <w:i/>
          <w:iCs/>
        </w:rPr>
        <w:t>erga omnes</w:t>
      </w:r>
      <w:r w:rsidR="00765B81">
        <w:t xml:space="preserve"> e</w:t>
      </w:r>
      <w:r w:rsidR="009A4CB9">
        <w:t>,</w:t>
      </w:r>
      <w:r w:rsidR="00765B81">
        <w:t xml:space="preserve"> mesmo que não fosse, o fim do contrato de trabalho se deu em momento posterior ao </w:t>
      </w:r>
      <w:r w:rsidR="009A4CB9">
        <w:t xml:space="preserve">do julgado. </w:t>
      </w:r>
    </w:p>
    <w:p w14:paraId="16068EE2" w14:textId="02A7751A" w:rsidR="0094523A" w:rsidRDefault="006B453F" w:rsidP="00C14A4A">
      <w:pPr>
        <w:pStyle w:val="Ttulo1"/>
        <w:ind w:left="720"/>
      </w:pPr>
      <w:r w:rsidRPr="006B453F">
        <w:t>DA CONTRADIÇÃO NA AVALIAÇÃO DA FISCALIZAÇÃO</w:t>
      </w:r>
      <w:r w:rsidR="007D0949">
        <w:t xml:space="preserve"> </w:t>
      </w:r>
      <w:r w:rsidR="006E78A2">
        <w:t xml:space="preserve"> </w:t>
      </w:r>
    </w:p>
    <w:p w14:paraId="629D4E18" w14:textId="020B689F" w:rsidR="00134BE2" w:rsidRDefault="00BB3513" w:rsidP="001E4E5A">
      <w:r>
        <w:t xml:space="preserve">O </w:t>
      </w:r>
      <w:r w:rsidRPr="0094523A">
        <w:rPr>
          <w:i/>
          <w:iCs/>
        </w:rPr>
        <w:t>decisum</w:t>
      </w:r>
      <w:r>
        <w:t xml:space="preserve"> </w:t>
      </w:r>
      <w:r w:rsidR="00F44642">
        <w:t>atribuiu a responsabilidade subsidiaria ao banco d</w:t>
      </w:r>
      <w:r w:rsidR="0069753A">
        <w:t>o</w:t>
      </w:r>
      <w:r w:rsidR="00F44642">
        <w:t xml:space="preserve"> brasil “</w:t>
      </w:r>
      <w:r w:rsidR="00C4117C" w:rsidRPr="00C4117C">
        <w:t>especialmente quanto à fiscalização do cumprimento das obrigações</w:t>
      </w:r>
      <w:r w:rsidR="00C4117C">
        <w:t xml:space="preserve">”. </w:t>
      </w:r>
      <w:r>
        <w:t xml:space="preserve">Ora, se houve efetiva comprovação de fiscalização e não restou demonstrada a inércia do Banco, não há como se imputar culpa </w:t>
      </w:r>
      <w:r w:rsidRPr="00F310ED">
        <w:rPr>
          <w:i/>
          <w:iCs/>
        </w:rPr>
        <w:t>in vigilando</w:t>
      </w:r>
      <w:r w:rsidR="001E4E5A">
        <w:t xml:space="preserve">, considerando a definição </w:t>
      </w:r>
      <w:r w:rsidR="003D2534">
        <w:t xml:space="preserve">trazida pelo </w:t>
      </w:r>
      <w:r w:rsidR="003D2534" w:rsidRPr="003D2534">
        <w:t>Tema 1118</w:t>
      </w:r>
      <w:r w:rsidR="003D2534">
        <w:t>.</w:t>
      </w:r>
      <w:r>
        <w:t xml:space="preserve"> </w:t>
      </w:r>
    </w:p>
    <w:p w14:paraId="65116A52" w14:textId="271A69D8" w:rsidR="00E10E70" w:rsidRDefault="00E10E70" w:rsidP="00E10E70">
      <w:r w:rsidRPr="00E10E70">
        <w:t xml:space="preserve">Consta dos autos, expressamente invocado </w:t>
      </w:r>
      <w:r w:rsidR="000958EF">
        <w:t xml:space="preserve">na inicial e </w:t>
      </w:r>
      <w:r w:rsidR="002E5EDB">
        <w:t>mencionado em</w:t>
      </w:r>
      <w:r w:rsidR="000958EF">
        <w:t xml:space="preserve"> contestação</w:t>
      </w:r>
      <w:r w:rsidRPr="00E10E70">
        <w:t xml:space="preserve"> </w:t>
      </w:r>
      <w:r w:rsidR="002E5EDB">
        <w:t xml:space="preserve">da ação de recuperação judicial </w:t>
      </w:r>
      <w:r w:rsidR="002E5EDB" w:rsidRPr="002E5EDB">
        <w:t>0802299-53.2019.8.20.5001</w:t>
      </w:r>
      <w:r w:rsidR="002E5EDB">
        <w:t xml:space="preserve"> </w:t>
      </w:r>
      <w:r w:rsidRPr="00E10E70">
        <w:t xml:space="preserve">que </w:t>
      </w:r>
      <w:r w:rsidR="002E5EDB">
        <w:t>determin</w:t>
      </w:r>
      <w:r w:rsidR="00F264E0">
        <w:t>ou a</w:t>
      </w:r>
      <w:r w:rsidRPr="00E10E70">
        <w:t xml:space="preserve"> </w:t>
      </w:r>
      <w:r w:rsidRPr="00E10E70">
        <w:rPr>
          <w:b/>
          <w:bCs/>
          <w:color w:val="1F3864" w:themeColor="accent1" w:themeShade="80"/>
        </w:rPr>
        <w:t>continuidade do contrato entre o Banco e a ADS</w:t>
      </w:r>
      <w:r w:rsidR="00327A04">
        <w:rPr>
          <w:b/>
          <w:bCs/>
          <w:color w:val="1F3864" w:themeColor="accent1" w:themeShade="80"/>
        </w:rPr>
        <w:t>.</w:t>
      </w:r>
      <w:r w:rsidR="00F264E0">
        <w:rPr>
          <w:b/>
          <w:bCs/>
          <w:color w:val="1F3864" w:themeColor="accent1" w:themeShade="80"/>
        </w:rPr>
        <w:t xml:space="preserve"> </w:t>
      </w:r>
      <w:r w:rsidR="00327A04">
        <w:rPr>
          <w:b/>
          <w:bCs/>
          <w:color w:val="1F3864" w:themeColor="accent1" w:themeShade="80"/>
        </w:rPr>
        <w:t>Assim, a</w:t>
      </w:r>
      <w:r w:rsidR="00475A10">
        <w:rPr>
          <w:b/>
          <w:bCs/>
          <w:color w:val="1F3864" w:themeColor="accent1" w:themeShade="80"/>
        </w:rPr>
        <w:t xml:space="preserve"> manutenção </w:t>
      </w:r>
      <w:r w:rsidR="00F264E0" w:rsidRPr="00E10E70">
        <w:rPr>
          <w:b/>
          <w:bCs/>
          <w:color w:val="1F3864" w:themeColor="accent1" w:themeShade="80"/>
        </w:rPr>
        <w:t>ocorreu</w:t>
      </w:r>
      <w:r w:rsidRPr="00E10E70">
        <w:rPr>
          <w:b/>
          <w:bCs/>
          <w:color w:val="1F3864" w:themeColor="accent1" w:themeShade="80"/>
        </w:rPr>
        <w:t xml:space="preserve"> por determinação judicial</w:t>
      </w:r>
      <w:r w:rsidR="000958EF">
        <w:rPr>
          <w:b/>
          <w:bCs/>
          <w:color w:val="1F3864" w:themeColor="accent1" w:themeShade="80"/>
        </w:rPr>
        <w:t xml:space="preserve"> em decorrência da recuperação judicial</w:t>
      </w:r>
      <w:r w:rsidRPr="00E10E70">
        <w:t>, o que afasta qualquer alegação de omissão voluntária ou inércia da Administração.</w:t>
      </w:r>
      <w:r w:rsidR="00475A10">
        <w:t xml:space="preserve"> Destaca-se o </w:t>
      </w:r>
      <w:r w:rsidR="00FE3B1D">
        <w:t>recorte</w:t>
      </w:r>
      <w:r w:rsidR="00475A10">
        <w:t xml:space="preserve"> da </w:t>
      </w:r>
      <w:r w:rsidR="00FE3B1D">
        <w:t>decisão</w:t>
      </w:r>
      <w:r w:rsidR="00475A10">
        <w:t xml:space="preserve"> de id</w:t>
      </w:r>
      <w:r w:rsidR="00D86F63">
        <w:t xml:space="preserve">. </w:t>
      </w:r>
      <w:r w:rsidR="00D86F63" w:rsidRPr="00D86F63">
        <w:t>110872272</w:t>
      </w:r>
      <w:r w:rsidR="00D86F63">
        <w:t xml:space="preserve"> proferida em </w:t>
      </w:r>
      <w:r w:rsidR="00D86F63" w:rsidRPr="00D86F63">
        <w:t>18/11/2023</w:t>
      </w:r>
      <w:r w:rsidR="00D86F63">
        <w:t xml:space="preserve">: </w:t>
      </w:r>
    </w:p>
    <w:p w14:paraId="72221D72" w14:textId="5C5A1603" w:rsidR="008828F4" w:rsidRDefault="008828F4" w:rsidP="00327A04">
      <w:pPr>
        <w:pStyle w:val="SemEspaamento"/>
      </w:pPr>
      <w:r>
        <w:t>Nesse tocante, deve-se sempre pontuar a situação jurídica da requerente, que se trata de empresa em recuperação judicial cuja atividade é a prestação de serviços de segurança privada e que possui como única fonte de renda os contratos de prestação de serviços de recursos humanos de segurança, de modo que o contrato objeto do pleito representa parcela considerável de seus ganhos. A rescisão contratual pode ocasionar, assim, a inviabilização dos seus serviços e, consequentemente, de sua manutenção.</w:t>
      </w:r>
    </w:p>
    <w:p w14:paraId="7791111C" w14:textId="33E1038D" w:rsidR="008828F4" w:rsidRDefault="008828F4" w:rsidP="00327A04">
      <w:pPr>
        <w:pStyle w:val="SemEspaamento"/>
      </w:pPr>
      <w:r>
        <w:t>Ante o exposto, DEFIRO o pedido de tutela de urgência, com fulcro no art. 300 e seguintes do Código de Processo Civil, a fim de determinar que o requerido Banco do Brasil se abstenha de proceder à rescisão contratual com a empresa recuperanda ADS SEGURANÇA PRIVADA LTDA, aceitando, desta feita, a fiança bancária apresentada como garantia, pelas razões supramencionadas.</w:t>
      </w:r>
    </w:p>
    <w:p w14:paraId="08865073" w14:textId="65E8D9C9" w:rsidR="008828F4" w:rsidRPr="00E10E70" w:rsidRDefault="008828F4" w:rsidP="00327A04">
      <w:pPr>
        <w:pStyle w:val="SemEspaamento"/>
      </w:pPr>
      <w:r>
        <w:t>Fixo, desde já, a pena de multa por eventual descumprimento, a qual fixo em R$ 100.000,00 (cem mil reais), considerando proporcionalmente o valor total do contrato.</w:t>
      </w:r>
    </w:p>
    <w:p w14:paraId="3E3EAAA5" w14:textId="263EE084" w:rsidR="00E10E70" w:rsidRDefault="00E10E70" w:rsidP="00F062ED">
      <w:r w:rsidRPr="00E10E70">
        <w:t xml:space="preserve">A decisão, contudo, </w:t>
      </w:r>
      <w:r w:rsidR="004A6654">
        <w:t>alega que</w:t>
      </w:r>
      <w:r w:rsidR="003F6337">
        <w:t xml:space="preserve"> </w:t>
      </w:r>
      <w:r w:rsidR="00F062ED">
        <w:t xml:space="preserve">o Banco do Brasil </w:t>
      </w:r>
      <w:r w:rsidR="003F6337">
        <w:t xml:space="preserve">não tomou </w:t>
      </w:r>
      <w:r w:rsidR="00B10E9C">
        <w:t xml:space="preserve">conduta </w:t>
      </w:r>
      <w:r w:rsidR="00F310ED">
        <w:t>diligente</w:t>
      </w:r>
      <w:r w:rsidR="00486271">
        <w:t>,</w:t>
      </w:r>
      <w:r w:rsidR="004330C2">
        <w:t xml:space="preserve"> ainda que tenha tomado todas as ações que estavam a seu alcance</w:t>
      </w:r>
      <w:r w:rsidR="00486271">
        <w:t>.</w:t>
      </w:r>
      <w:r w:rsidR="00F062ED">
        <w:t xml:space="preserve"> </w:t>
      </w:r>
      <w:r w:rsidR="00486271">
        <w:t>A</w:t>
      </w:r>
      <w:r w:rsidR="004330C2">
        <w:t xml:space="preserve"> manutenção do contrato não</w:t>
      </w:r>
      <w:r w:rsidR="00F062ED">
        <w:t xml:space="preserve"> </w:t>
      </w:r>
      <w:r w:rsidR="00486271">
        <w:t xml:space="preserve">foi </w:t>
      </w:r>
      <w:r w:rsidR="00F062ED">
        <w:t>deliberação voluntaria</w:t>
      </w:r>
      <w:r w:rsidRPr="00E10E70">
        <w:t xml:space="preserve">, que, por si só, descaracteriza a </w:t>
      </w:r>
      <w:r w:rsidRPr="00E10E70">
        <w:rPr>
          <w:i/>
          <w:iCs/>
        </w:rPr>
        <w:t>culpa in vigilando</w:t>
      </w:r>
      <w:r w:rsidRPr="00E10E70">
        <w:t xml:space="preserve">, uma vez que o </w:t>
      </w:r>
      <w:r w:rsidRPr="00E10E70">
        <w:lastRenderedPageBreak/>
        <w:t>Banco não tinha discricionariedade para rescindir unilateralmente o contrato enquanto vigente ordem judicial que impunha sua manutenção.</w:t>
      </w:r>
    </w:p>
    <w:p w14:paraId="07B44EB8" w14:textId="19AF919C" w:rsidR="002D3158" w:rsidRDefault="002D3158" w:rsidP="00F062ED">
      <w:r w:rsidRPr="002D3158">
        <w:t xml:space="preserve">Com efeito, </w:t>
      </w:r>
      <w:bookmarkStart w:id="0" w:name="_Hlk212053117"/>
      <w:r w:rsidRPr="002D3158">
        <w:t xml:space="preserve">impende salientar que, se o Banco do Brasil estava impedido judicialmente de rescindir o contrato, conforme comprovado nos autos, e, ainda assim, instaurou processo administrativo disciplinar, aplicou multa por inexecução contratual, reteve pagamentos até a regularização das pendências e exigiu da prestadora comprovantes de adimplência trabalhista e previdenciária, </w:t>
      </w:r>
      <w:r w:rsidRPr="00C05D01">
        <w:rPr>
          <w:b/>
          <w:bCs/>
          <w:color w:val="1F3864" w:themeColor="accent1" w:themeShade="80"/>
        </w:rPr>
        <w:t>questiona-se: se tais medidas não configuram efetiva fiscalização, o que então se entende por fiscalização eficiente?</w:t>
      </w:r>
    </w:p>
    <w:bookmarkEnd w:id="0"/>
    <w:p w14:paraId="3F659BB2" w14:textId="19EA4A12" w:rsidR="0094523A" w:rsidRPr="00D05C46" w:rsidRDefault="00FE3B1D" w:rsidP="00F310ED">
      <w:r>
        <w:t>Ademais, a</w:t>
      </w:r>
      <w:r w:rsidR="00225C08">
        <w:t xml:space="preserve"> sentença deixa de analis</w:t>
      </w:r>
      <w:r w:rsidR="00A926A0">
        <w:t xml:space="preserve">ar </w:t>
      </w:r>
      <w:r w:rsidR="00EB62A7">
        <w:t xml:space="preserve">as </w:t>
      </w:r>
      <w:r w:rsidR="00A926A0" w:rsidRPr="00A926A0">
        <w:t>certidões  mensais  de  regularidade fiscal e trabalhista no tocante à primeira reclamada; certidões de débitos trabalhistas; solicitação de instauração de processo administrativo sancionatório a fornecedor;  determinação  para  abertura  de  processo  administrativo,  bem como sua notificação inicial à primeira ré; recomendação de aplicação de sanção de multa  por  descumprimento  de  obrigação  contratual,  no  bojo  de  processo administrativo; e aplicação de sanção administrativa de multa por descumprimento contratual.</w:t>
      </w:r>
    </w:p>
    <w:p w14:paraId="12C22C44" w14:textId="5799C2FE" w:rsidR="009C33A7" w:rsidRPr="009C33A7" w:rsidRDefault="009C33A7" w:rsidP="009C33A7">
      <w:pPr>
        <w:pStyle w:val="Ttulo1"/>
        <w:ind w:left="720"/>
      </w:pPr>
      <w:r w:rsidRPr="009C33A7">
        <w:t>Pedido</w:t>
      </w:r>
    </w:p>
    <w:p w14:paraId="3E28F0AA" w14:textId="5536C72D" w:rsidR="009C33A7" w:rsidRPr="009C33A7" w:rsidRDefault="009C33A7" w:rsidP="009C33A7">
      <w:r w:rsidRPr="009C33A7">
        <w:t>Diante do exposto, requer:</w:t>
      </w:r>
    </w:p>
    <w:p w14:paraId="25ED97D6" w14:textId="77777777" w:rsidR="00425AA1" w:rsidRDefault="00425AA1" w:rsidP="00425AA1">
      <w:pPr>
        <w:pStyle w:val="PargrafodaLista"/>
        <w:numPr>
          <w:ilvl w:val="0"/>
          <w:numId w:val="39"/>
        </w:numPr>
      </w:pPr>
      <w:r w:rsidRPr="009C33A7">
        <w:t xml:space="preserve">O conhecimento e provimento dos presentes Embargos de Declaração, para </w:t>
      </w:r>
      <w:r w:rsidRPr="00B75446">
        <w:rPr>
          <w:bCs/>
        </w:rPr>
        <w:t>sanar as omissões e contradições apontadas</w:t>
      </w:r>
      <w:r w:rsidRPr="009C33A7">
        <w:t>;</w:t>
      </w:r>
    </w:p>
    <w:p w14:paraId="26E6BCFE" w14:textId="1A15C85F" w:rsidR="00425AA1" w:rsidRDefault="00425AA1" w:rsidP="00425AA1">
      <w:pPr>
        <w:pStyle w:val="PargrafodaLista"/>
        <w:numPr>
          <w:ilvl w:val="0"/>
          <w:numId w:val="39"/>
        </w:numPr>
      </w:pPr>
      <w:r w:rsidRPr="00280942">
        <w:t xml:space="preserve">A retificação da sentença, </w:t>
      </w:r>
      <w:r>
        <w:t>aplicando o entendimento do tema 1.118;</w:t>
      </w:r>
    </w:p>
    <w:p w14:paraId="7CED245A" w14:textId="77777777" w:rsidR="00425AA1" w:rsidRPr="009C33A7" w:rsidRDefault="00425AA1" w:rsidP="00425AA1">
      <w:pPr>
        <w:pStyle w:val="PargrafodaLista"/>
        <w:numPr>
          <w:ilvl w:val="0"/>
          <w:numId w:val="39"/>
        </w:numPr>
      </w:pPr>
      <w:r w:rsidRPr="00C32117">
        <w:t xml:space="preserve">O reconhecimento de que o Banco do Brasil cumpriu adequadamente o dever de fiscalização e o princípio da cooperação processual, inexistindo </w:t>
      </w:r>
      <w:r w:rsidRPr="00B75446">
        <w:rPr>
          <w:i/>
          <w:iCs/>
        </w:rPr>
        <w:t>culpa in vigilando</w:t>
      </w:r>
      <w:r>
        <w:t>;</w:t>
      </w:r>
    </w:p>
    <w:p w14:paraId="10345563" w14:textId="13E1C706" w:rsidR="009C33A7" w:rsidRPr="00757565" w:rsidRDefault="00425AA1" w:rsidP="00757565">
      <w:pPr>
        <w:pStyle w:val="PargrafodaLista"/>
        <w:numPr>
          <w:ilvl w:val="0"/>
          <w:numId w:val="39"/>
        </w:numPr>
      </w:pPr>
      <w:r w:rsidRPr="009C33A7">
        <w:t xml:space="preserve">Subsidiariamente, que </w:t>
      </w:r>
      <w:r>
        <w:t>a responsabilização do banco se dê apenas com relação as verbas dentro do período contratual em que esta casa bancária tinha capacidade de fiscalização</w:t>
      </w:r>
      <w:r w:rsidRPr="009C33A7">
        <w:t>.</w:t>
      </w:r>
    </w:p>
    <w:p w14:paraId="67CE2FD7" w14:textId="1F656730" w:rsidR="00EB776F" w:rsidRPr="00ED2705" w:rsidRDefault="005322AA" w:rsidP="00D904C1">
      <w:pPr>
        <w:spacing w:after="0"/>
        <w:ind w:firstLine="0"/>
        <w:jc w:val="center"/>
      </w:pPr>
      <w:r w:rsidRPr="00ED2705">
        <w:t>Nestes termos, pede deferimento.</w:t>
      </w:r>
    </w:p>
    <w:p w14:paraId="0EC33627" w14:textId="4C906C73" w:rsidR="00D904C1" w:rsidRDefault="005322AA" w:rsidP="00D904C1">
      <w:pPr>
        <w:spacing w:after="0"/>
        <w:ind w:firstLine="0"/>
        <w:jc w:val="center"/>
      </w:pPr>
      <w:r w:rsidRPr="00ED2705">
        <w:t xml:space="preserve">Natal, </w:t>
      </w:r>
      <w:r w:rsidR="00D377B0" w:rsidRPr="00ED2705">
        <w:t>data do protocolo</w:t>
      </w:r>
      <w:r w:rsidRPr="00ED2705">
        <w:t>.</w:t>
      </w:r>
    </w:p>
    <w:p w14:paraId="0DB466BF" w14:textId="77777777" w:rsidR="00D904C1" w:rsidRPr="00ED2705" w:rsidRDefault="00D904C1" w:rsidP="00D904C1">
      <w:pPr>
        <w:spacing w:after="0"/>
        <w:ind w:firstLine="0"/>
        <w:jc w:val="center"/>
      </w:pPr>
    </w:p>
    <w:p w14:paraId="30E8B3DD" w14:textId="54342CB9" w:rsidR="005322AA" w:rsidRPr="00EB776F" w:rsidRDefault="005322AA" w:rsidP="00D904C1">
      <w:pPr>
        <w:spacing w:after="0"/>
        <w:ind w:firstLine="0"/>
        <w:jc w:val="center"/>
        <w:rPr>
          <w:b/>
          <w:bCs/>
          <w:color w:val="1F3864" w:themeColor="accent1" w:themeShade="80"/>
        </w:rPr>
      </w:pPr>
      <w:r w:rsidRPr="00EB776F">
        <w:rPr>
          <w:b/>
          <w:bCs/>
          <w:color w:val="1F3864" w:themeColor="accent1" w:themeShade="80"/>
        </w:rPr>
        <w:t>MARCOS DÉLLI RIBEIRO RODRIGUES</w:t>
      </w:r>
    </w:p>
    <w:p w14:paraId="47249552" w14:textId="07F8DFA5" w:rsidR="000E07DB" w:rsidRDefault="00126F5B" w:rsidP="00D904C1">
      <w:pPr>
        <w:spacing w:after="0"/>
        <w:ind w:firstLine="0"/>
        <w:jc w:val="center"/>
      </w:pPr>
      <w:r w:rsidRPr="00126F5B">
        <w:t>OAB/RN 5.553</w:t>
      </w:r>
    </w:p>
    <w:p w14:paraId="15B9C75A" w14:textId="77777777" w:rsidR="00295BFA" w:rsidRDefault="00295BFA" w:rsidP="00D904C1">
      <w:pPr>
        <w:spacing w:after="0"/>
        <w:ind w:firstLine="0"/>
        <w:jc w:val="center"/>
      </w:pPr>
    </w:p>
    <w:p w14:paraId="07BE2A4E" w14:textId="4333C185" w:rsidR="00295BFA" w:rsidRPr="00295BFA" w:rsidRDefault="00295BFA" w:rsidP="00D904C1">
      <w:pPr>
        <w:spacing w:after="0"/>
        <w:ind w:firstLine="0"/>
        <w:jc w:val="center"/>
        <w:rPr>
          <w:b/>
          <w:bCs/>
          <w:color w:val="1F3864" w:themeColor="accent1" w:themeShade="80"/>
        </w:rPr>
      </w:pPr>
      <w:r w:rsidRPr="00295BFA">
        <w:rPr>
          <w:b/>
          <w:bCs/>
          <w:color w:val="1F3864" w:themeColor="accent1" w:themeShade="80"/>
        </w:rPr>
        <w:t xml:space="preserve">AXEL DE ARAÚJO BRITO </w:t>
      </w:r>
    </w:p>
    <w:p w14:paraId="74FCDAA7" w14:textId="07E63798" w:rsidR="00295BFA" w:rsidRPr="00F32567" w:rsidRDefault="00295BFA" w:rsidP="00D904C1">
      <w:pPr>
        <w:spacing w:after="0"/>
        <w:ind w:firstLine="0"/>
        <w:jc w:val="center"/>
      </w:pPr>
      <w:r>
        <w:t xml:space="preserve">Estagiário </w:t>
      </w:r>
    </w:p>
    <w:sectPr w:rsidR="00295BFA" w:rsidRPr="00F32567" w:rsidSect="00E30321">
      <w:headerReference w:type="default" r:id="rId7"/>
      <w:pgSz w:w="11906" w:h="16838"/>
      <w:pgMar w:top="1418" w:right="1134" w:bottom="1247" w:left="1134" w:header="153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9181F" w14:textId="77777777" w:rsidR="00B9131F" w:rsidRDefault="00B9131F" w:rsidP="004F7469">
      <w:pPr>
        <w:spacing w:after="0" w:line="240" w:lineRule="auto"/>
      </w:pPr>
      <w:r>
        <w:separator/>
      </w:r>
    </w:p>
  </w:endnote>
  <w:endnote w:type="continuationSeparator" w:id="0">
    <w:p w14:paraId="5D2E4737" w14:textId="77777777" w:rsidR="00B9131F" w:rsidRDefault="00B9131F" w:rsidP="004F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9A782" w14:textId="77777777" w:rsidR="00B9131F" w:rsidRDefault="00B9131F" w:rsidP="004F7469">
      <w:pPr>
        <w:spacing w:after="0" w:line="240" w:lineRule="auto"/>
      </w:pPr>
      <w:r>
        <w:separator/>
      </w:r>
    </w:p>
  </w:footnote>
  <w:footnote w:type="continuationSeparator" w:id="0">
    <w:p w14:paraId="270B6400" w14:textId="77777777" w:rsidR="00B9131F" w:rsidRDefault="00B9131F" w:rsidP="004F7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120" w14:textId="67D466D6" w:rsidR="004F7469" w:rsidRDefault="004F7469" w:rsidP="004F7469">
    <w:pPr>
      <w:pStyle w:val="Cabealho"/>
      <w:tabs>
        <w:tab w:val="clear" w:pos="4252"/>
        <w:tab w:val="clear" w:pos="8504"/>
        <w:tab w:val="left" w:pos="103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9F1FBB4" wp14:editId="39AAE2DD">
          <wp:simplePos x="0" y="0"/>
          <wp:positionH relativeFrom="page">
            <wp:posOffset>16510</wp:posOffset>
          </wp:positionH>
          <wp:positionV relativeFrom="paragraph">
            <wp:posOffset>-949325</wp:posOffset>
          </wp:positionV>
          <wp:extent cx="7543800" cy="10670540"/>
          <wp:effectExtent l="0" t="0" r="0" b="0"/>
          <wp:wrapNone/>
          <wp:docPr id="14343436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674641" name="Imagem 1506674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62D"/>
    <w:multiLevelType w:val="hybridMultilevel"/>
    <w:tmpl w:val="BD867038"/>
    <w:lvl w:ilvl="0" w:tplc="90C8C39C">
      <w:start w:val="1"/>
      <w:numFmt w:val="lowerLetter"/>
      <w:lvlText w:val="%1)"/>
      <w:lvlJc w:val="left"/>
      <w:pPr>
        <w:ind w:left="361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35" w:hanging="360"/>
      </w:pPr>
    </w:lvl>
    <w:lvl w:ilvl="2" w:tplc="0416001B" w:tentative="1">
      <w:start w:val="1"/>
      <w:numFmt w:val="lowerRoman"/>
      <w:lvlText w:val="%3."/>
      <w:lvlJc w:val="right"/>
      <w:pPr>
        <w:ind w:left="5055" w:hanging="180"/>
      </w:pPr>
    </w:lvl>
    <w:lvl w:ilvl="3" w:tplc="0416000F" w:tentative="1">
      <w:start w:val="1"/>
      <w:numFmt w:val="decimal"/>
      <w:lvlText w:val="%4."/>
      <w:lvlJc w:val="left"/>
      <w:pPr>
        <w:ind w:left="5775" w:hanging="360"/>
      </w:pPr>
    </w:lvl>
    <w:lvl w:ilvl="4" w:tplc="04160019" w:tentative="1">
      <w:start w:val="1"/>
      <w:numFmt w:val="lowerLetter"/>
      <w:lvlText w:val="%5."/>
      <w:lvlJc w:val="left"/>
      <w:pPr>
        <w:ind w:left="6495" w:hanging="360"/>
      </w:pPr>
    </w:lvl>
    <w:lvl w:ilvl="5" w:tplc="0416001B" w:tentative="1">
      <w:start w:val="1"/>
      <w:numFmt w:val="lowerRoman"/>
      <w:lvlText w:val="%6."/>
      <w:lvlJc w:val="right"/>
      <w:pPr>
        <w:ind w:left="7215" w:hanging="180"/>
      </w:pPr>
    </w:lvl>
    <w:lvl w:ilvl="6" w:tplc="0416000F" w:tentative="1">
      <w:start w:val="1"/>
      <w:numFmt w:val="decimal"/>
      <w:lvlText w:val="%7."/>
      <w:lvlJc w:val="left"/>
      <w:pPr>
        <w:ind w:left="7935" w:hanging="360"/>
      </w:pPr>
    </w:lvl>
    <w:lvl w:ilvl="7" w:tplc="04160019" w:tentative="1">
      <w:start w:val="1"/>
      <w:numFmt w:val="lowerLetter"/>
      <w:lvlText w:val="%8."/>
      <w:lvlJc w:val="left"/>
      <w:pPr>
        <w:ind w:left="8655" w:hanging="360"/>
      </w:pPr>
    </w:lvl>
    <w:lvl w:ilvl="8" w:tplc="0416001B" w:tentative="1">
      <w:start w:val="1"/>
      <w:numFmt w:val="lowerRoman"/>
      <w:lvlText w:val="%9."/>
      <w:lvlJc w:val="right"/>
      <w:pPr>
        <w:ind w:left="9375" w:hanging="180"/>
      </w:pPr>
    </w:lvl>
  </w:abstractNum>
  <w:abstractNum w:abstractNumId="1" w15:restartNumberingAfterBreak="0">
    <w:nsid w:val="076E2856"/>
    <w:multiLevelType w:val="hybridMultilevel"/>
    <w:tmpl w:val="48B6CD9E"/>
    <w:lvl w:ilvl="0" w:tplc="DAB4EF62">
      <w:start w:val="1"/>
      <w:numFmt w:val="upperRoman"/>
      <w:pStyle w:val="Ttulo1"/>
      <w:lvlText w:val="%1."/>
      <w:lvlJc w:val="right"/>
      <w:pPr>
        <w:ind w:left="928" w:hanging="360"/>
      </w:pPr>
      <w:rPr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11B2E"/>
    <w:multiLevelType w:val="multilevel"/>
    <w:tmpl w:val="C368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02618"/>
    <w:multiLevelType w:val="hybridMultilevel"/>
    <w:tmpl w:val="25D6E7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CC5CF6"/>
    <w:multiLevelType w:val="hybridMultilevel"/>
    <w:tmpl w:val="F7F886F6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53585F"/>
    <w:multiLevelType w:val="hybridMultilevel"/>
    <w:tmpl w:val="AAF4E736"/>
    <w:lvl w:ilvl="0" w:tplc="F260DA6A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6" w15:restartNumberingAfterBreak="0">
    <w:nsid w:val="232616AB"/>
    <w:multiLevelType w:val="hybridMultilevel"/>
    <w:tmpl w:val="C05059F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6F06C73"/>
    <w:multiLevelType w:val="multilevel"/>
    <w:tmpl w:val="AF44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D7214"/>
    <w:multiLevelType w:val="multilevel"/>
    <w:tmpl w:val="0CBAC10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63F0F"/>
    <w:multiLevelType w:val="multilevel"/>
    <w:tmpl w:val="92D8E69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06C8B"/>
    <w:multiLevelType w:val="hybridMultilevel"/>
    <w:tmpl w:val="D61EC144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600688"/>
    <w:multiLevelType w:val="hybridMultilevel"/>
    <w:tmpl w:val="98FED5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16628"/>
    <w:multiLevelType w:val="multilevel"/>
    <w:tmpl w:val="B8F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B68F3"/>
    <w:multiLevelType w:val="hybridMultilevel"/>
    <w:tmpl w:val="65782376"/>
    <w:lvl w:ilvl="0" w:tplc="B1266B22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80" w:hanging="360"/>
      </w:pPr>
    </w:lvl>
    <w:lvl w:ilvl="2" w:tplc="0416001B" w:tentative="1">
      <w:start w:val="1"/>
      <w:numFmt w:val="lowerRoman"/>
      <w:lvlText w:val="%3."/>
      <w:lvlJc w:val="right"/>
      <w:pPr>
        <w:ind w:left="2700" w:hanging="180"/>
      </w:pPr>
    </w:lvl>
    <w:lvl w:ilvl="3" w:tplc="0416000F" w:tentative="1">
      <w:start w:val="1"/>
      <w:numFmt w:val="decimal"/>
      <w:lvlText w:val="%4."/>
      <w:lvlJc w:val="left"/>
      <w:pPr>
        <w:ind w:left="3420" w:hanging="360"/>
      </w:pPr>
    </w:lvl>
    <w:lvl w:ilvl="4" w:tplc="04160019" w:tentative="1">
      <w:start w:val="1"/>
      <w:numFmt w:val="lowerLetter"/>
      <w:lvlText w:val="%5."/>
      <w:lvlJc w:val="left"/>
      <w:pPr>
        <w:ind w:left="4140" w:hanging="360"/>
      </w:pPr>
    </w:lvl>
    <w:lvl w:ilvl="5" w:tplc="0416001B" w:tentative="1">
      <w:start w:val="1"/>
      <w:numFmt w:val="lowerRoman"/>
      <w:lvlText w:val="%6."/>
      <w:lvlJc w:val="right"/>
      <w:pPr>
        <w:ind w:left="4860" w:hanging="180"/>
      </w:pPr>
    </w:lvl>
    <w:lvl w:ilvl="6" w:tplc="0416000F" w:tentative="1">
      <w:start w:val="1"/>
      <w:numFmt w:val="decimal"/>
      <w:lvlText w:val="%7."/>
      <w:lvlJc w:val="left"/>
      <w:pPr>
        <w:ind w:left="5580" w:hanging="360"/>
      </w:pPr>
    </w:lvl>
    <w:lvl w:ilvl="7" w:tplc="04160019" w:tentative="1">
      <w:start w:val="1"/>
      <w:numFmt w:val="lowerLetter"/>
      <w:lvlText w:val="%8."/>
      <w:lvlJc w:val="left"/>
      <w:pPr>
        <w:ind w:left="6300" w:hanging="360"/>
      </w:pPr>
    </w:lvl>
    <w:lvl w:ilvl="8" w:tplc="0416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6B0E52D8"/>
    <w:multiLevelType w:val="hybridMultilevel"/>
    <w:tmpl w:val="E95C05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686B4D"/>
    <w:multiLevelType w:val="hybridMultilevel"/>
    <w:tmpl w:val="4C98D73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469F3"/>
    <w:multiLevelType w:val="multilevel"/>
    <w:tmpl w:val="D936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B45A0"/>
    <w:multiLevelType w:val="multilevel"/>
    <w:tmpl w:val="A7E0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067931">
    <w:abstractNumId w:val="1"/>
  </w:num>
  <w:num w:numId="2" w16cid:durableId="169568204">
    <w:abstractNumId w:val="13"/>
  </w:num>
  <w:num w:numId="3" w16cid:durableId="1568295371">
    <w:abstractNumId w:val="6"/>
  </w:num>
  <w:num w:numId="4" w16cid:durableId="260645609">
    <w:abstractNumId w:val="4"/>
  </w:num>
  <w:num w:numId="5" w16cid:durableId="967901620">
    <w:abstractNumId w:val="16"/>
  </w:num>
  <w:num w:numId="6" w16cid:durableId="904952506">
    <w:abstractNumId w:val="1"/>
  </w:num>
  <w:num w:numId="7" w16cid:durableId="1416241555">
    <w:abstractNumId w:val="1"/>
  </w:num>
  <w:num w:numId="8" w16cid:durableId="1841582897">
    <w:abstractNumId w:val="1"/>
  </w:num>
  <w:num w:numId="9" w16cid:durableId="1963029913">
    <w:abstractNumId w:val="17"/>
  </w:num>
  <w:num w:numId="10" w16cid:durableId="1369522965">
    <w:abstractNumId w:val="1"/>
  </w:num>
  <w:num w:numId="11" w16cid:durableId="1944147749">
    <w:abstractNumId w:val="1"/>
  </w:num>
  <w:num w:numId="12" w16cid:durableId="1168978555">
    <w:abstractNumId w:val="1"/>
  </w:num>
  <w:num w:numId="13" w16cid:durableId="727268335">
    <w:abstractNumId w:val="8"/>
  </w:num>
  <w:num w:numId="14" w16cid:durableId="951860074">
    <w:abstractNumId w:val="7"/>
  </w:num>
  <w:num w:numId="15" w16cid:durableId="1090004836">
    <w:abstractNumId w:val="1"/>
  </w:num>
  <w:num w:numId="16" w16cid:durableId="887496483">
    <w:abstractNumId w:val="1"/>
  </w:num>
  <w:num w:numId="17" w16cid:durableId="350491068">
    <w:abstractNumId w:val="1"/>
  </w:num>
  <w:num w:numId="18" w16cid:durableId="527373885">
    <w:abstractNumId w:val="1"/>
  </w:num>
  <w:num w:numId="19" w16cid:durableId="1789200639">
    <w:abstractNumId w:val="9"/>
  </w:num>
  <w:num w:numId="20" w16cid:durableId="782462163">
    <w:abstractNumId w:val="1"/>
  </w:num>
  <w:num w:numId="21" w16cid:durableId="1763796291">
    <w:abstractNumId w:val="1"/>
  </w:num>
  <w:num w:numId="22" w16cid:durableId="220137382">
    <w:abstractNumId w:val="1"/>
  </w:num>
  <w:num w:numId="23" w16cid:durableId="627976262">
    <w:abstractNumId w:val="11"/>
  </w:num>
  <w:num w:numId="24" w16cid:durableId="1503425039">
    <w:abstractNumId w:val="1"/>
  </w:num>
  <w:num w:numId="25" w16cid:durableId="1946158282">
    <w:abstractNumId w:val="5"/>
  </w:num>
  <w:num w:numId="26" w16cid:durableId="1305895170">
    <w:abstractNumId w:val="0"/>
  </w:num>
  <w:num w:numId="27" w16cid:durableId="20324386">
    <w:abstractNumId w:val="15"/>
  </w:num>
  <w:num w:numId="28" w16cid:durableId="1305046196">
    <w:abstractNumId w:val="12"/>
  </w:num>
  <w:num w:numId="29" w16cid:durableId="1167751132">
    <w:abstractNumId w:val="2"/>
  </w:num>
  <w:num w:numId="30" w16cid:durableId="5989191">
    <w:abstractNumId w:val="1"/>
  </w:num>
  <w:num w:numId="31" w16cid:durableId="663163168">
    <w:abstractNumId w:val="1"/>
  </w:num>
  <w:num w:numId="32" w16cid:durableId="1639532110">
    <w:abstractNumId w:val="1"/>
  </w:num>
  <w:num w:numId="33" w16cid:durableId="1393382581">
    <w:abstractNumId w:val="1"/>
  </w:num>
  <w:num w:numId="34" w16cid:durableId="38870246">
    <w:abstractNumId w:val="1"/>
  </w:num>
  <w:num w:numId="35" w16cid:durableId="873615710">
    <w:abstractNumId w:val="1"/>
  </w:num>
  <w:num w:numId="36" w16cid:durableId="1509826792">
    <w:abstractNumId w:val="1"/>
  </w:num>
  <w:num w:numId="37" w16cid:durableId="306320778">
    <w:abstractNumId w:val="3"/>
  </w:num>
  <w:num w:numId="38" w16cid:durableId="1110709795">
    <w:abstractNumId w:val="14"/>
  </w:num>
  <w:num w:numId="39" w16cid:durableId="2742884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69"/>
    <w:rsid w:val="00002E47"/>
    <w:rsid w:val="000053EE"/>
    <w:rsid w:val="0001273C"/>
    <w:rsid w:val="000157F9"/>
    <w:rsid w:val="00025E07"/>
    <w:rsid w:val="00026CB7"/>
    <w:rsid w:val="00032956"/>
    <w:rsid w:val="00033416"/>
    <w:rsid w:val="00037609"/>
    <w:rsid w:val="00043506"/>
    <w:rsid w:val="00051DE8"/>
    <w:rsid w:val="000657B7"/>
    <w:rsid w:val="00070B13"/>
    <w:rsid w:val="00073548"/>
    <w:rsid w:val="0007497D"/>
    <w:rsid w:val="00076B51"/>
    <w:rsid w:val="00094803"/>
    <w:rsid w:val="00095420"/>
    <w:rsid w:val="000958EF"/>
    <w:rsid w:val="000A4DCC"/>
    <w:rsid w:val="000A7666"/>
    <w:rsid w:val="000B0627"/>
    <w:rsid w:val="000B363B"/>
    <w:rsid w:val="000B59DF"/>
    <w:rsid w:val="000C6013"/>
    <w:rsid w:val="000D153F"/>
    <w:rsid w:val="000E07DB"/>
    <w:rsid w:val="000E1025"/>
    <w:rsid w:val="000E123D"/>
    <w:rsid w:val="000E1B20"/>
    <w:rsid w:val="000E6FB8"/>
    <w:rsid w:val="00106D3E"/>
    <w:rsid w:val="00126F5B"/>
    <w:rsid w:val="00132E62"/>
    <w:rsid w:val="00134BE2"/>
    <w:rsid w:val="00136BC8"/>
    <w:rsid w:val="00163ACC"/>
    <w:rsid w:val="0016743D"/>
    <w:rsid w:val="00171547"/>
    <w:rsid w:val="001743C6"/>
    <w:rsid w:val="00177397"/>
    <w:rsid w:val="00180BCF"/>
    <w:rsid w:val="001A2E87"/>
    <w:rsid w:val="001B7B18"/>
    <w:rsid w:val="001C36E3"/>
    <w:rsid w:val="001C4AEB"/>
    <w:rsid w:val="001C5D4B"/>
    <w:rsid w:val="001D6976"/>
    <w:rsid w:val="001D762B"/>
    <w:rsid w:val="001E04C8"/>
    <w:rsid w:val="001E1DAC"/>
    <w:rsid w:val="001E4E5A"/>
    <w:rsid w:val="001F28A0"/>
    <w:rsid w:val="001F29FA"/>
    <w:rsid w:val="001F4A59"/>
    <w:rsid w:val="001F6F23"/>
    <w:rsid w:val="002070B6"/>
    <w:rsid w:val="00222B79"/>
    <w:rsid w:val="00224AF9"/>
    <w:rsid w:val="00225C08"/>
    <w:rsid w:val="0022775B"/>
    <w:rsid w:val="00230B3B"/>
    <w:rsid w:val="00245747"/>
    <w:rsid w:val="00255631"/>
    <w:rsid w:val="0026079C"/>
    <w:rsid w:val="00273B55"/>
    <w:rsid w:val="00274409"/>
    <w:rsid w:val="00286AA6"/>
    <w:rsid w:val="00295BFA"/>
    <w:rsid w:val="002A1118"/>
    <w:rsid w:val="002A3688"/>
    <w:rsid w:val="002B06AB"/>
    <w:rsid w:val="002B0EC7"/>
    <w:rsid w:val="002B2C30"/>
    <w:rsid w:val="002C0EF0"/>
    <w:rsid w:val="002D2644"/>
    <w:rsid w:val="002D3158"/>
    <w:rsid w:val="002D32C6"/>
    <w:rsid w:val="002D763D"/>
    <w:rsid w:val="002E5EDB"/>
    <w:rsid w:val="002F7ACB"/>
    <w:rsid w:val="00300146"/>
    <w:rsid w:val="0030294C"/>
    <w:rsid w:val="0031151E"/>
    <w:rsid w:val="00312CDB"/>
    <w:rsid w:val="00314155"/>
    <w:rsid w:val="00327A04"/>
    <w:rsid w:val="00331D16"/>
    <w:rsid w:val="00334B46"/>
    <w:rsid w:val="003427F8"/>
    <w:rsid w:val="003471BE"/>
    <w:rsid w:val="00353DE5"/>
    <w:rsid w:val="003546D5"/>
    <w:rsid w:val="0036051A"/>
    <w:rsid w:val="003622FE"/>
    <w:rsid w:val="003677BE"/>
    <w:rsid w:val="00370AB1"/>
    <w:rsid w:val="0037208D"/>
    <w:rsid w:val="00372776"/>
    <w:rsid w:val="00374A74"/>
    <w:rsid w:val="0038445D"/>
    <w:rsid w:val="003849E3"/>
    <w:rsid w:val="003935D1"/>
    <w:rsid w:val="003A1556"/>
    <w:rsid w:val="003A463F"/>
    <w:rsid w:val="003B252E"/>
    <w:rsid w:val="003B2C15"/>
    <w:rsid w:val="003B2E6D"/>
    <w:rsid w:val="003C3374"/>
    <w:rsid w:val="003C6CDB"/>
    <w:rsid w:val="003D17CD"/>
    <w:rsid w:val="003D2534"/>
    <w:rsid w:val="003E36B8"/>
    <w:rsid w:val="003E6E89"/>
    <w:rsid w:val="003F17F4"/>
    <w:rsid w:val="003F3DF0"/>
    <w:rsid w:val="003F6337"/>
    <w:rsid w:val="0041076F"/>
    <w:rsid w:val="00410B1A"/>
    <w:rsid w:val="004134C2"/>
    <w:rsid w:val="0041472B"/>
    <w:rsid w:val="00425AA1"/>
    <w:rsid w:val="00425D40"/>
    <w:rsid w:val="004317F8"/>
    <w:rsid w:val="004329E0"/>
    <w:rsid w:val="004330C2"/>
    <w:rsid w:val="00442FDA"/>
    <w:rsid w:val="004434CA"/>
    <w:rsid w:val="00445DBE"/>
    <w:rsid w:val="00446773"/>
    <w:rsid w:val="00462A60"/>
    <w:rsid w:val="00465490"/>
    <w:rsid w:val="00466FBE"/>
    <w:rsid w:val="00474946"/>
    <w:rsid w:val="00474D4A"/>
    <w:rsid w:val="00475A10"/>
    <w:rsid w:val="00486271"/>
    <w:rsid w:val="004948A9"/>
    <w:rsid w:val="00495793"/>
    <w:rsid w:val="004A6061"/>
    <w:rsid w:val="004A6654"/>
    <w:rsid w:val="004A68CA"/>
    <w:rsid w:val="004A6AED"/>
    <w:rsid w:val="004D03F0"/>
    <w:rsid w:val="004D5AA9"/>
    <w:rsid w:val="004E1029"/>
    <w:rsid w:val="004E7974"/>
    <w:rsid w:val="004F140C"/>
    <w:rsid w:val="004F7469"/>
    <w:rsid w:val="005039A6"/>
    <w:rsid w:val="00505160"/>
    <w:rsid w:val="00510B1D"/>
    <w:rsid w:val="00511AF6"/>
    <w:rsid w:val="00514089"/>
    <w:rsid w:val="00516A8D"/>
    <w:rsid w:val="00517ED8"/>
    <w:rsid w:val="00517FEC"/>
    <w:rsid w:val="00523288"/>
    <w:rsid w:val="00532058"/>
    <w:rsid w:val="005322AA"/>
    <w:rsid w:val="00533396"/>
    <w:rsid w:val="00534706"/>
    <w:rsid w:val="00546E59"/>
    <w:rsid w:val="00550EAF"/>
    <w:rsid w:val="00582BF9"/>
    <w:rsid w:val="0058771F"/>
    <w:rsid w:val="00591329"/>
    <w:rsid w:val="005943BF"/>
    <w:rsid w:val="005963C8"/>
    <w:rsid w:val="005972DA"/>
    <w:rsid w:val="005A23B0"/>
    <w:rsid w:val="005A33E3"/>
    <w:rsid w:val="005B4523"/>
    <w:rsid w:val="005B4682"/>
    <w:rsid w:val="005B6DD0"/>
    <w:rsid w:val="005B793B"/>
    <w:rsid w:val="005C3794"/>
    <w:rsid w:val="005D51F4"/>
    <w:rsid w:val="005E3562"/>
    <w:rsid w:val="005E3649"/>
    <w:rsid w:val="005F2926"/>
    <w:rsid w:val="0061222C"/>
    <w:rsid w:val="00612A58"/>
    <w:rsid w:val="0063057C"/>
    <w:rsid w:val="00631400"/>
    <w:rsid w:val="00635542"/>
    <w:rsid w:val="006509F3"/>
    <w:rsid w:val="00655F68"/>
    <w:rsid w:val="00667E43"/>
    <w:rsid w:val="006766A7"/>
    <w:rsid w:val="0069753A"/>
    <w:rsid w:val="006A1642"/>
    <w:rsid w:val="006B0237"/>
    <w:rsid w:val="006B0695"/>
    <w:rsid w:val="006B3AE0"/>
    <w:rsid w:val="006B4250"/>
    <w:rsid w:val="006B453F"/>
    <w:rsid w:val="006B6BC9"/>
    <w:rsid w:val="006D5714"/>
    <w:rsid w:val="006E1C14"/>
    <w:rsid w:val="006E2168"/>
    <w:rsid w:val="006E2D26"/>
    <w:rsid w:val="006E32E7"/>
    <w:rsid w:val="006E36E9"/>
    <w:rsid w:val="006E38D6"/>
    <w:rsid w:val="006E4108"/>
    <w:rsid w:val="006E7673"/>
    <w:rsid w:val="006E78A2"/>
    <w:rsid w:val="006E7CF7"/>
    <w:rsid w:val="006F2013"/>
    <w:rsid w:val="006F542D"/>
    <w:rsid w:val="00724101"/>
    <w:rsid w:val="00725ABA"/>
    <w:rsid w:val="0074076F"/>
    <w:rsid w:val="007462AB"/>
    <w:rsid w:val="00747AB3"/>
    <w:rsid w:val="00757565"/>
    <w:rsid w:val="0076395B"/>
    <w:rsid w:val="00765B81"/>
    <w:rsid w:val="00782861"/>
    <w:rsid w:val="007868C6"/>
    <w:rsid w:val="00790AFC"/>
    <w:rsid w:val="007954E3"/>
    <w:rsid w:val="007969ED"/>
    <w:rsid w:val="007A14D5"/>
    <w:rsid w:val="007A2670"/>
    <w:rsid w:val="007A2F8D"/>
    <w:rsid w:val="007A65A5"/>
    <w:rsid w:val="007C33AF"/>
    <w:rsid w:val="007C3C8B"/>
    <w:rsid w:val="007C48B3"/>
    <w:rsid w:val="007D0949"/>
    <w:rsid w:val="007D1BB0"/>
    <w:rsid w:val="007D2C06"/>
    <w:rsid w:val="007F612A"/>
    <w:rsid w:val="0080281F"/>
    <w:rsid w:val="0081644E"/>
    <w:rsid w:val="00816BD1"/>
    <w:rsid w:val="00823A82"/>
    <w:rsid w:val="008300B5"/>
    <w:rsid w:val="00830CE0"/>
    <w:rsid w:val="0083501A"/>
    <w:rsid w:val="00842B3F"/>
    <w:rsid w:val="0084314B"/>
    <w:rsid w:val="00846735"/>
    <w:rsid w:val="00847876"/>
    <w:rsid w:val="00865227"/>
    <w:rsid w:val="0086553F"/>
    <w:rsid w:val="0086678A"/>
    <w:rsid w:val="00875A9C"/>
    <w:rsid w:val="008767F3"/>
    <w:rsid w:val="00881B7F"/>
    <w:rsid w:val="008828F4"/>
    <w:rsid w:val="00886B1D"/>
    <w:rsid w:val="00890A1D"/>
    <w:rsid w:val="008932C0"/>
    <w:rsid w:val="008A6670"/>
    <w:rsid w:val="008C25A6"/>
    <w:rsid w:val="008C3F05"/>
    <w:rsid w:val="008C4164"/>
    <w:rsid w:val="008F1D06"/>
    <w:rsid w:val="008F4E12"/>
    <w:rsid w:val="008F5BF1"/>
    <w:rsid w:val="008F6AB4"/>
    <w:rsid w:val="00900CDE"/>
    <w:rsid w:val="00903AE5"/>
    <w:rsid w:val="00907283"/>
    <w:rsid w:val="009109B0"/>
    <w:rsid w:val="0094141D"/>
    <w:rsid w:val="00941A08"/>
    <w:rsid w:val="00942958"/>
    <w:rsid w:val="00942E3E"/>
    <w:rsid w:val="0094523A"/>
    <w:rsid w:val="00946269"/>
    <w:rsid w:val="009466D3"/>
    <w:rsid w:val="009625B5"/>
    <w:rsid w:val="009A4CB9"/>
    <w:rsid w:val="009B63B7"/>
    <w:rsid w:val="009C0007"/>
    <w:rsid w:val="009C0E7B"/>
    <w:rsid w:val="009C33A7"/>
    <w:rsid w:val="009C4130"/>
    <w:rsid w:val="009C7788"/>
    <w:rsid w:val="009D442E"/>
    <w:rsid w:val="009D4FBD"/>
    <w:rsid w:val="009D5E3B"/>
    <w:rsid w:val="009D5EC1"/>
    <w:rsid w:val="009E63F0"/>
    <w:rsid w:val="009E6E6C"/>
    <w:rsid w:val="009F371B"/>
    <w:rsid w:val="00A03BFD"/>
    <w:rsid w:val="00A07198"/>
    <w:rsid w:val="00A20EDC"/>
    <w:rsid w:val="00A21F56"/>
    <w:rsid w:val="00A25437"/>
    <w:rsid w:val="00A33536"/>
    <w:rsid w:val="00A337AB"/>
    <w:rsid w:val="00A44134"/>
    <w:rsid w:val="00A51A51"/>
    <w:rsid w:val="00A75938"/>
    <w:rsid w:val="00A8238A"/>
    <w:rsid w:val="00A87270"/>
    <w:rsid w:val="00A926A0"/>
    <w:rsid w:val="00A94C70"/>
    <w:rsid w:val="00AB380A"/>
    <w:rsid w:val="00AC02B4"/>
    <w:rsid w:val="00AC05E7"/>
    <w:rsid w:val="00AC14A3"/>
    <w:rsid w:val="00AC1734"/>
    <w:rsid w:val="00AC1859"/>
    <w:rsid w:val="00AC1C43"/>
    <w:rsid w:val="00AC5646"/>
    <w:rsid w:val="00AD0277"/>
    <w:rsid w:val="00AD09A1"/>
    <w:rsid w:val="00AD31D3"/>
    <w:rsid w:val="00AD353C"/>
    <w:rsid w:val="00AD3ADA"/>
    <w:rsid w:val="00AD476A"/>
    <w:rsid w:val="00AE3EE6"/>
    <w:rsid w:val="00AF2414"/>
    <w:rsid w:val="00AF2B63"/>
    <w:rsid w:val="00AF6A3D"/>
    <w:rsid w:val="00AF71BD"/>
    <w:rsid w:val="00AF7E71"/>
    <w:rsid w:val="00B02728"/>
    <w:rsid w:val="00B04556"/>
    <w:rsid w:val="00B04CC8"/>
    <w:rsid w:val="00B10E9C"/>
    <w:rsid w:val="00B153B3"/>
    <w:rsid w:val="00B1594F"/>
    <w:rsid w:val="00B16143"/>
    <w:rsid w:val="00B302B6"/>
    <w:rsid w:val="00B34848"/>
    <w:rsid w:val="00B365E0"/>
    <w:rsid w:val="00B45498"/>
    <w:rsid w:val="00B50F4E"/>
    <w:rsid w:val="00B5412C"/>
    <w:rsid w:val="00B55E98"/>
    <w:rsid w:val="00B61A79"/>
    <w:rsid w:val="00B74116"/>
    <w:rsid w:val="00B75EB4"/>
    <w:rsid w:val="00B8262D"/>
    <w:rsid w:val="00B848DD"/>
    <w:rsid w:val="00B85D8A"/>
    <w:rsid w:val="00B862EF"/>
    <w:rsid w:val="00B86E1E"/>
    <w:rsid w:val="00B87FC0"/>
    <w:rsid w:val="00B9131F"/>
    <w:rsid w:val="00B97D93"/>
    <w:rsid w:val="00BB2F18"/>
    <w:rsid w:val="00BB3513"/>
    <w:rsid w:val="00BC1BD5"/>
    <w:rsid w:val="00BC77AE"/>
    <w:rsid w:val="00BD0B5B"/>
    <w:rsid w:val="00BD2F8B"/>
    <w:rsid w:val="00BD2FD0"/>
    <w:rsid w:val="00BD59D9"/>
    <w:rsid w:val="00BE06C9"/>
    <w:rsid w:val="00C00E8E"/>
    <w:rsid w:val="00C012E2"/>
    <w:rsid w:val="00C051AE"/>
    <w:rsid w:val="00C05D01"/>
    <w:rsid w:val="00C14A4A"/>
    <w:rsid w:val="00C205ED"/>
    <w:rsid w:val="00C211B0"/>
    <w:rsid w:val="00C23FAF"/>
    <w:rsid w:val="00C258A3"/>
    <w:rsid w:val="00C30814"/>
    <w:rsid w:val="00C4117C"/>
    <w:rsid w:val="00C7229C"/>
    <w:rsid w:val="00C73B07"/>
    <w:rsid w:val="00C756D0"/>
    <w:rsid w:val="00C8141C"/>
    <w:rsid w:val="00C84B31"/>
    <w:rsid w:val="00C87C56"/>
    <w:rsid w:val="00C90A3F"/>
    <w:rsid w:val="00C9433D"/>
    <w:rsid w:val="00C9602B"/>
    <w:rsid w:val="00C9660E"/>
    <w:rsid w:val="00CB47BC"/>
    <w:rsid w:val="00CC2B42"/>
    <w:rsid w:val="00CC3E77"/>
    <w:rsid w:val="00CC505C"/>
    <w:rsid w:val="00CD103C"/>
    <w:rsid w:val="00CD3F8B"/>
    <w:rsid w:val="00CE4782"/>
    <w:rsid w:val="00CE6DED"/>
    <w:rsid w:val="00CE714E"/>
    <w:rsid w:val="00CF1735"/>
    <w:rsid w:val="00CF3233"/>
    <w:rsid w:val="00CF6D4F"/>
    <w:rsid w:val="00D05C46"/>
    <w:rsid w:val="00D07A2F"/>
    <w:rsid w:val="00D21D53"/>
    <w:rsid w:val="00D310DA"/>
    <w:rsid w:val="00D377B0"/>
    <w:rsid w:val="00D40492"/>
    <w:rsid w:val="00D42906"/>
    <w:rsid w:val="00D43225"/>
    <w:rsid w:val="00D43F40"/>
    <w:rsid w:val="00D64276"/>
    <w:rsid w:val="00D6510F"/>
    <w:rsid w:val="00D67063"/>
    <w:rsid w:val="00D72469"/>
    <w:rsid w:val="00D75884"/>
    <w:rsid w:val="00D84046"/>
    <w:rsid w:val="00D86F63"/>
    <w:rsid w:val="00D904AE"/>
    <w:rsid w:val="00D904C1"/>
    <w:rsid w:val="00DA3449"/>
    <w:rsid w:val="00DA4EC9"/>
    <w:rsid w:val="00DA65F3"/>
    <w:rsid w:val="00DB34FA"/>
    <w:rsid w:val="00DB4B86"/>
    <w:rsid w:val="00DC2E06"/>
    <w:rsid w:val="00DC3B28"/>
    <w:rsid w:val="00DE4FAC"/>
    <w:rsid w:val="00DF22F8"/>
    <w:rsid w:val="00DF3B13"/>
    <w:rsid w:val="00DF66E2"/>
    <w:rsid w:val="00E02211"/>
    <w:rsid w:val="00E076CF"/>
    <w:rsid w:val="00E10E70"/>
    <w:rsid w:val="00E117B4"/>
    <w:rsid w:val="00E133CA"/>
    <w:rsid w:val="00E205F2"/>
    <w:rsid w:val="00E261B0"/>
    <w:rsid w:val="00E30321"/>
    <w:rsid w:val="00E31E5A"/>
    <w:rsid w:val="00E346B3"/>
    <w:rsid w:val="00E37D9D"/>
    <w:rsid w:val="00E57715"/>
    <w:rsid w:val="00E6053F"/>
    <w:rsid w:val="00E609B9"/>
    <w:rsid w:val="00E873A7"/>
    <w:rsid w:val="00E8772B"/>
    <w:rsid w:val="00E93BE4"/>
    <w:rsid w:val="00E959AD"/>
    <w:rsid w:val="00EA1F17"/>
    <w:rsid w:val="00EA53E8"/>
    <w:rsid w:val="00EA5F4D"/>
    <w:rsid w:val="00EB259C"/>
    <w:rsid w:val="00EB62A7"/>
    <w:rsid w:val="00EB776F"/>
    <w:rsid w:val="00EC532F"/>
    <w:rsid w:val="00ED2705"/>
    <w:rsid w:val="00ED4EA9"/>
    <w:rsid w:val="00EE1800"/>
    <w:rsid w:val="00EE3108"/>
    <w:rsid w:val="00EE3AD9"/>
    <w:rsid w:val="00F021AF"/>
    <w:rsid w:val="00F05E04"/>
    <w:rsid w:val="00F062ED"/>
    <w:rsid w:val="00F17E3B"/>
    <w:rsid w:val="00F23DE2"/>
    <w:rsid w:val="00F264E0"/>
    <w:rsid w:val="00F26901"/>
    <w:rsid w:val="00F3080C"/>
    <w:rsid w:val="00F310ED"/>
    <w:rsid w:val="00F31F88"/>
    <w:rsid w:val="00F32249"/>
    <w:rsid w:val="00F32567"/>
    <w:rsid w:val="00F33DF6"/>
    <w:rsid w:val="00F43C67"/>
    <w:rsid w:val="00F44642"/>
    <w:rsid w:val="00F4735A"/>
    <w:rsid w:val="00F60ECC"/>
    <w:rsid w:val="00F646E9"/>
    <w:rsid w:val="00F665E2"/>
    <w:rsid w:val="00F7062C"/>
    <w:rsid w:val="00F70C1F"/>
    <w:rsid w:val="00F7612E"/>
    <w:rsid w:val="00F80678"/>
    <w:rsid w:val="00F866D8"/>
    <w:rsid w:val="00F91C83"/>
    <w:rsid w:val="00F94ACE"/>
    <w:rsid w:val="00F974A6"/>
    <w:rsid w:val="00FA4768"/>
    <w:rsid w:val="00FC70C9"/>
    <w:rsid w:val="00FD04CF"/>
    <w:rsid w:val="00FE3B1D"/>
    <w:rsid w:val="00FF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2D85B"/>
  <w15:chartTrackingRefBased/>
  <w15:docId w15:val="{B349F1A0-8131-4ED3-A58B-3188FE0D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drão"/>
    <w:qFormat/>
    <w:rsid w:val="00F310ED"/>
    <w:pPr>
      <w:ind w:firstLine="709"/>
      <w:jc w:val="both"/>
    </w:pPr>
    <w:rPr>
      <w:rFonts w:ascii="Palatino Linotype" w:hAnsi="Palatino Linotype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F7612E"/>
    <w:pPr>
      <w:keepNext/>
      <w:keepLines/>
      <w:numPr>
        <w:numId w:val="1"/>
      </w:numPr>
      <w:spacing w:before="160" w:after="80"/>
      <w:outlineLvl w:val="0"/>
    </w:pPr>
    <w:rPr>
      <w:rFonts w:eastAsiaTheme="majorEastAsia" w:cstheme="majorBidi"/>
      <w:b/>
      <w:caps/>
      <w:color w:val="324664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7612E"/>
    <w:pPr>
      <w:keepNext/>
      <w:keepLines/>
      <w:spacing w:before="80" w:line="240" w:lineRule="auto"/>
      <w:ind w:firstLine="0"/>
      <w:outlineLvl w:val="1"/>
    </w:pPr>
    <w:rPr>
      <w:rFonts w:eastAsiaTheme="majorEastAsia" w:cstheme="majorBidi"/>
      <w:b/>
      <w:i/>
      <w:caps/>
      <w:color w:val="324664"/>
      <w:sz w:val="26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6CB7"/>
    <w:pPr>
      <w:keepNext/>
      <w:keepLines/>
      <w:spacing w:before="160" w:line="240" w:lineRule="auto"/>
      <w:ind w:firstLine="0"/>
      <w:jc w:val="center"/>
      <w:outlineLvl w:val="2"/>
    </w:pPr>
    <w:rPr>
      <w:rFonts w:eastAsiaTheme="majorEastAsia" w:cstheme="majorBidi"/>
      <w:b/>
      <w:caps/>
      <w:color w:val="324664"/>
      <w:sz w:val="40"/>
      <w:szCs w:val="28"/>
    </w:rPr>
  </w:style>
  <w:style w:type="paragraph" w:styleId="Ttulo4">
    <w:name w:val="heading 4"/>
    <w:aliases w:val="Endereçamento"/>
    <w:basedOn w:val="Normal"/>
    <w:next w:val="Normal"/>
    <w:link w:val="Ttulo4Char"/>
    <w:uiPriority w:val="9"/>
    <w:unhideWhenUsed/>
    <w:qFormat/>
    <w:rsid w:val="00B85D8A"/>
    <w:pPr>
      <w:keepNext/>
      <w:keepLines/>
      <w:spacing w:line="240" w:lineRule="auto"/>
      <w:ind w:firstLine="0"/>
      <w:outlineLvl w:val="3"/>
    </w:pPr>
    <w:rPr>
      <w:rFonts w:eastAsiaTheme="majorEastAsia" w:cstheme="majorBidi"/>
      <w:b/>
      <w:iCs/>
      <w:caps/>
      <w:color w:val="32466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7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612E"/>
    <w:rPr>
      <w:rFonts w:ascii="Palatino Linotype" w:eastAsiaTheme="majorEastAsia" w:hAnsi="Palatino Linotype" w:cstheme="majorBidi"/>
      <w:b/>
      <w:caps/>
      <w:color w:val="324664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7612E"/>
    <w:rPr>
      <w:rFonts w:ascii="Palatino Linotype" w:eastAsiaTheme="majorEastAsia" w:hAnsi="Palatino Linotype" w:cstheme="majorBidi"/>
      <w:b/>
      <w:i/>
      <w:caps/>
      <w:color w:val="324664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26CB7"/>
    <w:rPr>
      <w:rFonts w:ascii="Palatino Linotype" w:eastAsiaTheme="majorEastAsia" w:hAnsi="Palatino Linotype" w:cstheme="majorBidi"/>
      <w:b/>
      <w:caps/>
      <w:color w:val="324664"/>
      <w:sz w:val="40"/>
      <w:szCs w:val="28"/>
    </w:rPr>
  </w:style>
  <w:style w:type="character" w:customStyle="1" w:styleId="Ttulo4Char">
    <w:name w:val="Título 4 Char"/>
    <w:aliases w:val="Endereçamento Char"/>
    <w:basedOn w:val="Fontepargpadro"/>
    <w:link w:val="Ttulo4"/>
    <w:uiPriority w:val="9"/>
    <w:rsid w:val="00B85D8A"/>
    <w:rPr>
      <w:rFonts w:ascii="Palatino Linotype" w:eastAsiaTheme="majorEastAsia" w:hAnsi="Palatino Linotype" w:cstheme="majorBidi"/>
      <w:b/>
      <w:iCs/>
      <w:caps/>
      <w:color w:val="32466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74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7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74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7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7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746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74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74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74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7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74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746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F74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7469"/>
  </w:style>
  <w:style w:type="paragraph" w:styleId="Rodap">
    <w:name w:val="footer"/>
    <w:basedOn w:val="Normal"/>
    <w:link w:val="RodapChar"/>
    <w:uiPriority w:val="99"/>
    <w:unhideWhenUsed/>
    <w:rsid w:val="004F74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7469"/>
  </w:style>
  <w:style w:type="paragraph" w:styleId="SemEspaamento">
    <w:name w:val="No Spacing"/>
    <w:aliases w:val="CITAÇÃO"/>
    <w:uiPriority w:val="1"/>
    <w:qFormat/>
    <w:rsid w:val="00F7612E"/>
    <w:pPr>
      <w:spacing w:line="240" w:lineRule="auto"/>
      <w:ind w:left="2835"/>
      <w:jc w:val="both"/>
    </w:pPr>
    <w:rPr>
      <w:rFonts w:ascii="Palatino Linotype" w:hAnsi="Palatino Linotype"/>
      <w:color w:val="000000" w:themeColor="text1"/>
      <w:sz w:val="22"/>
    </w:rPr>
  </w:style>
  <w:style w:type="character" w:styleId="Forte">
    <w:name w:val="Strong"/>
    <w:basedOn w:val="Fontepargpadro"/>
    <w:uiPriority w:val="22"/>
    <w:qFormat/>
    <w:rsid w:val="000B36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24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8652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5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45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00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7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461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5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818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88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17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1701</Words>
  <Characters>9612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OLIVEIRA DA COSTA</dc:creator>
  <cp:keywords/>
  <dc:description/>
  <cp:lastModifiedBy>Antônio Uemerson de Carvalho</cp:lastModifiedBy>
  <cp:revision>56</cp:revision>
  <cp:lastPrinted>2025-10-21T21:31:00Z</cp:lastPrinted>
  <dcterms:created xsi:type="dcterms:W3CDTF">2025-12-02T17:00:00Z</dcterms:created>
  <dcterms:modified xsi:type="dcterms:W3CDTF">2025-12-16T14:18:00Z</dcterms:modified>
</cp:coreProperties>
</file>