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15D18" w14:textId="77777777" w:rsidR="001B1E6C" w:rsidRDefault="001B1E6C" w:rsidP="001B1E6C">
      <w:pPr>
        <w:shd w:val="clear" w:color="auto" w:fill="FFFF00"/>
        <w:ind w:firstLine="0"/>
        <w:rPr>
          <w:b/>
          <w:bCs/>
        </w:rPr>
      </w:pPr>
      <w:r w:rsidRPr="001B1E6C">
        <w:rPr>
          <w:b/>
          <w:bCs/>
        </w:rPr>
        <w:t>EXCELENTÍSSIMO(A) SENHOR(A) DOUTOR(A) JUIZ(A) DE DIREITO DA ___ VARA CÍVEL DA COMARCA DE ____</w:t>
      </w:r>
    </w:p>
    <w:p w14:paraId="6E8E3828" w14:textId="77777777" w:rsidR="001B1E6C" w:rsidRPr="001B1E6C" w:rsidRDefault="001B1E6C" w:rsidP="001B1E6C">
      <w:pPr>
        <w:ind w:firstLine="0"/>
        <w:rPr>
          <w:i/>
          <w:iCs/>
        </w:rPr>
      </w:pPr>
    </w:p>
    <w:p w14:paraId="35FD3A49" w14:textId="172DCFB1" w:rsidR="001B1E6C" w:rsidRPr="001B1E6C" w:rsidRDefault="001B1E6C" w:rsidP="001B1E6C">
      <w:pPr>
        <w:ind w:firstLine="0"/>
        <w:jc w:val="left"/>
        <w:rPr>
          <w:b/>
          <w:bCs/>
          <w:i/>
          <w:iCs/>
        </w:rPr>
      </w:pPr>
      <w:r w:rsidRPr="001B1E6C">
        <w:rPr>
          <w:i/>
          <w:iCs/>
        </w:rPr>
        <w:t xml:space="preserve">Processo nº: </w:t>
      </w:r>
      <w:r w:rsidRPr="001B1E6C">
        <w:rPr>
          <w:i/>
          <w:iCs/>
        </w:rPr>
        <w:br/>
        <w:t xml:space="preserve">Autor: </w:t>
      </w:r>
      <w:r w:rsidRPr="001B1E6C">
        <w:rPr>
          <w:i/>
          <w:iCs/>
        </w:rPr>
        <w:br/>
        <w:t xml:space="preserve">Réu: </w:t>
      </w:r>
      <w:r w:rsidRPr="001B1E6C">
        <w:rPr>
          <w:b/>
          <w:bCs/>
          <w:i/>
          <w:iCs/>
        </w:rPr>
        <w:t>BANCO DO BRASIL S.A.</w:t>
      </w:r>
    </w:p>
    <w:p w14:paraId="5704A4A2" w14:textId="77777777" w:rsidR="001B1E6C" w:rsidRPr="001B1E6C" w:rsidRDefault="001B1E6C" w:rsidP="001B1E6C">
      <w:pPr>
        <w:ind w:firstLine="0"/>
      </w:pPr>
    </w:p>
    <w:p w14:paraId="4EB1D0D2" w14:textId="53856475" w:rsidR="001B1E6C" w:rsidRPr="001B1E6C" w:rsidRDefault="001B1E6C" w:rsidP="001B1E6C">
      <w:pPr>
        <w:ind w:firstLine="0"/>
      </w:pPr>
      <w:r>
        <w:tab/>
      </w:r>
      <w:r w:rsidRPr="001B1E6C">
        <w:t xml:space="preserve">O </w:t>
      </w:r>
      <w:r w:rsidRPr="001B1E6C">
        <w:rPr>
          <w:b/>
          <w:bCs/>
        </w:rPr>
        <w:t>BANCO DO BRASIL S.A.</w:t>
      </w:r>
      <w:r w:rsidRPr="001B1E6C">
        <w:t xml:space="preserve">, por seus procuradores, vem, respeitosamente, à presença de Vossa Excelência, com fundamento nos </w:t>
      </w:r>
      <w:proofErr w:type="spellStart"/>
      <w:r w:rsidRPr="001B1E6C">
        <w:t>arts</w:t>
      </w:r>
      <w:proofErr w:type="spellEnd"/>
      <w:r w:rsidRPr="001B1E6C">
        <w:t>. 494, I, 505, I, 927, III, e 1.022, parágrafo único, II, do CPC, requerer o CHAMAMENTO DO FEITO À ORDEM, pelos fundamentos a seguir expostos.</w:t>
      </w:r>
    </w:p>
    <w:p w14:paraId="16A4DB03" w14:textId="77777777" w:rsidR="001B1E6C" w:rsidRPr="001B1E6C" w:rsidRDefault="001B1E6C" w:rsidP="001B1E6C">
      <w:pPr>
        <w:spacing w:before="240"/>
        <w:ind w:firstLine="0"/>
        <w:rPr>
          <w:b/>
          <w:bCs/>
        </w:rPr>
      </w:pPr>
      <w:r w:rsidRPr="001B1E6C">
        <w:rPr>
          <w:b/>
          <w:bCs/>
        </w:rPr>
        <w:t>I – DA SUPERVENIÊNCIA DE TESE VINCULANTE DO STJ</w:t>
      </w:r>
    </w:p>
    <w:p w14:paraId="4D72C9F2" w14:textId="4E4A03E0" w:rsidR="001B1E6C" w:rsidRPr="001B1E6C" w:rsidRDefault="001B1E6C" w:rsidP="001B1E6C">
      <w:pPr>
        <w:ind w:firstLine="0"/>
      </w:pPr>
      <w:r>
        <w:tab/>
      </w:r>
      <w:r w:rsidRPr="001B1E6C">
        <w:t xml:space="preserve">Após a prolação da </w:t>
      </w:r>
      <w:r w:rsidRPr="001B1E6C">
        <w:rPr>
          <w:shd w:val="clear" w:color="auto" w:fill="FFFF00"/>
        </w:rPr>
        <w:t>sentença</w:t>
      </w:r>
      <w:r w:rsidRPr="001B1E6C">
        <w:rPr>
          <w:shd w:val="clear" w:color="auto" w:fill="FFFF00"/>
        </w:rPr>
        <w:t>/acórdão</w:t>
      </w:r>
      <w:r w:rsidRPr="001B1E6C">
        <w:t>, o Superior Tribunal de Justiça, no julgamento do Tema Repetitivo 1.387, firmou entendimento vinculante acerca do termo inicial da prescrição nas ações envolvendo conta PASEP, estabelecendo, de forma expressa, que o saque integral do principal constitui o marco inicial da prescrição.</w:t>
      </w:r>
    </w:p>
    <w:p w14:paraId="47BA2A2C" w14:textId="7832E765" w:rsidR="001B1E6C" w:rsidRPr="001B1E6C" w:rsidRDefault="001B1E6C" w:rsidP="001B1E6C">
      <w:pPr>
        <w:ind w:firstLine="0"/>
      </w:pPr>
      <w:r>
        <w:tab/>
      </w:r>
      <w:r w:rsidRPr="001B1E6C">
        <w:t>Trata-se de precedente obrigatório, que deve ser observado por todos os órgãos do Poder Judiciário, nos termos do art. 927, III, do CPC.</w:t>
      </w:r>
    </w:p>
    <w:p w14:paraId="455598C4" w14:textId="77777777" w:rsidR="001B1E6C" w:rsidRPr="001B1E6C" w:rsidRDefault="001B1E6C" w:rsidP="001B1E6C">
      <w:pPr>
        <w:spacing w:before="240"/>
        <w:ind w:firstLine="0"/>
        <w:rPr>
          <w:b/>
          <w:bCs/>
        </w:rPr>
      </w:pPr>
      <w:r w:rsidRPr="001B1E6C">
        <w:rPr>
          <w:b/>
          <w:bCs/>
        </w:rPr>
        <w:t>II – DO ERROR IN PROCEDENDO DECORRENTE DA INOBSERVÂNCIA DE PRECEDENTE VINCULANTE (TEMA 1.387/STJ)</w:t>
      </w:r>
    </w:p>
    <w:p w14:paraId="7FD26307" w14:textId="02B783C5" w:rsidR="001B1E6C" w:rsidRPr="001B1E6C" w:rsidRDefault="001B1E6C" w:rsidP="001B1E6C">
      <w:r w:rsidRPr="001B1E6C">
        <w:rPr>
          <w:shd w:val="clear" w:color="auto" w:fill="FFFF00"/>
        </w:rPr>
        <w:t>A sentença</w:t>
      </w:r>
      <w:r w:rsidRPr="001B1E6C">
        <w:rPr>
          <w:shd w:val="clear" w:color="auto" w:fill="FFFF00"/>
        </w:rPr>
        <w:t>/acórdão</w:t>
      </w:r>
      <w:r w:rsidRPr="001B1E6C">
        <w:t xml:space="preserve"> recorrida, ao afastar o reconhecimento da prescrição com fundamento em marco temporal diverso da data do saque integral do principal, incorre em vício de natureza processual, por inobservância de precedente vinculante, comprometendo a regularidade e a validade do julgamento.</w:t>
      </w:r>
    </w:p>
    <w:p w14:paraId="452DFCDA" w14:textId="77DA1916" w:rsidR="001B1E6C" w:rsidRDefault="001B1E6C" w:rsidP="001B1E6C">
      <w:r w:rsidRPr="001B1E6C">
        <w:t>Com efeito, o Superior Tribunal de Justiça, em sede de julgamento submetido ao rito dos recursos repetitivos, firmou tese jurídica clara e objetiva no Tema 1.387, estabelecendo que o saque integral do principal constitui o termo inicial do prazo prescricional da pretensão de reparação por supostos desfalques, saques indevidos ou ausência de aplicação de rendimentos em conta individualizada do PASEP.</w:t>
      </w:r>
      <w:r>
        <w:t xml:space="preserve"> Vejamos a tese firmada:</w:t>
      </w:r>
    </w:p>
    <w:p w14:paraId="68E92659" w14:textId="77777777" w:rsidR="001B1E6C" w:rsidRPr="00720DE1" w:rsidRDefault="001B1E6C" w:rsidP="001B1E6C">
      <w:pPr>
        <w:ind w:left="2268" w:firstLine="0"/>
        <w:rPr>
          <w:sz w:val="20"/>
          <w:szCs w:val="20"/>
        </w:rPr>
      </w:pPr>
      <w:r w:rsidRPr="00720DE1">
        <w:rPr>
          <w:i/>
          <w:iCs/>
          <w:sz w:val="20"/>
          <w:szCs w:val="20"/>
        </w:rPr>
        <w:t>“O saque integral do principal dá início ao prazo prescricional da pretensão de reparação por falha na prestação do serviço, por saques indevidos, por desfalques, ou por ausência de aplicação dos rendimentos estabelecidos em conta individualizada do PASEP.”</w:t>
      </w:r>
    </w:p>
    <w:p w14:paraId="104A1409" w14:textId="7E59F0A2" w:rsidR="001B1E6C" w:rsidRDefault="001B1E6C" w:rsidP="001B1E6C">
      <w:r w:rsidRPr="001B1E6C">
        <w:lastRenderedPageBreak/>
        <w:t xml:space="preserve">Nos termos do art. 927, III, do Código de Processo Civil, os juízes e tribunais devem observar obrigatoriamente os acórdãos proferidos em julgamento de recursos repetitivos, não se tratando de orientação meramente persuasiva, mas de vinculação jurídica expressa, cuja inobservância configura </w:t>
      </w:r>
      <w:proofErr w:type="spellStart"/>
      <w:r w:rsidRPr="001B1E6C">
        <w:t>error</w:t>
      </w:r>
      <w:proofErr w:type="spellEnd"/>
      <w:r w:rsidRPr="001B1E6C">
        <w:t xml:space="preserve"> in procedendo, e não simples erro de julgamento.</w:t>
      </w:r>
      <w:r>
        <w:t xml:space="preserve"> </w:t>
      </w:r>
      <w:r w:rsidRPr="001B1E6C">
        <w:rPr>
          <w:shd w:val="clear" w:color="auto" w:fill="FFFF00"/>
        </w:rPr>
        <w:t>Ora, observa-se que o saque integral ocorreu na data de _____, e o ajuizamento da ação só ocorreu em ______, estando comprovadamente prescrito:</w:t>
      </w:r>
    </w:p>
    <w:p w14:paraId="374886AD" w14:textId="77777777" w:rsidR="001B1E6C" w:rsidRDefault="001B1E6C" w:rsidP="001B1E6C"/>
    <w:p w14:paraId="12740097" w14:textId="77777777" w:rsidR="001B1E6C" w:rsidRDefault="001B1E6C" w:rsidP="001B1E6C">
      <w:pPr>
        <w:shd w:val="clear" w:color="auto" w:fill="FFFF00"/>
        <w:ind w:firstLine="0"/>
        <w:jc w:val="center"/>
      </w:pPr>
      <w:r>
        <w:t>Inserir comprovante do saque</w:t>
      </w:r>
    </w:p>
    <w:p w14:paraId="22D18008" w14:textId="77777777" w:rsidR="001B1E6C" w:rsidRPr="001B1E6C" w:rsidRDefault="001B1E6C" w:rsidP="001B1E6C"/>
    <w:p w14:paraId="04EF52C6" w14:textId="77777777" w:rsidR="001B1E6C" w:rsidRPr="001B1E6C" w:rsidRDefault="001B1E6C" w:rsidP="001B1E6C">
      <w:r w:rsidRPr="001B1E6C">
        <w:t xml:space="preserve">Afastar a prescrição com base em critérios subjetivos ou marcos temporais distintos daquele definido pelo STJ implica violação direta ao sistema de precedentes obrigatórios, bem como aos </w:t>
      </w:r>
      <w:proofErr w:type="spellStart"/>
      <w:r w:rsidRPr="001B1E6C">
        <w:t>arts</w:t>
      </w:r>
      <w:proofErr w:type="spellEnd"/>
      <w:r w:rsidRPr="001B1E6C">
        <w:t>. 489, §1º, VI, e 927, §3º, do CPC, porquanto a decisão deixa de enfrentar e aplicar precedente vinculante plenamente aplicável ao caso concreto, sem qualquer técnica de distinção (</w:t>
      </w:r>
      <w:proofErr w:type="spellStart"/>
      <w:r w:rsidRPr="001B1E6C">
        <w:rPr>
          <w:i/>
          <w:iCs/>
        </w:rPr>
        <w:t>distinguishing</w:t>
      </w:r>
      <w:proofErr w:type="spellEnd"/>
      <w:r w:rsidRPr="001B1E6C">
        <w:t>) ou superação (</w:t>
      </w:r>
      <w:proofErr w:type="spellStart"/>
      <w:r w:rsidRPr="001B1E6C">
        <w:rPr>
          <w:i/>
          <w:iCs/>
        </w:rPr>
        <w:t>overruling</w:t>
      </w:r>
      <w:proofErr w:type="spellEnd"/>
      <w:r w:rsidRPr="001B1E6C">
        <w:t>).</w:t>
      </w:r>
    </w:p>
    <w:p w14:paraId="6C471D90" w14:textId="77777777" w:rsidR="001B1E6C" w:rsidRPr="001B1E6C" w:rsidRDefault="001B1E6C" w:rsidP="001B1E6C">
      <w:r w:rsidRPr="001B1E6C">
        <w:t>Trata-se, portanto, de vício que transcende o mérito da controvérsia, alcançando a própria estrutura procedimental da decisão, pois subverte a lógica de uniformização jurisprudencial, compromete a isonomia entre jurisdicionados e afronta os postulados da segurança jurídica e da previsibilidade das decisões judiciais.</w:t>
      </w:r>
    </w:p>
    <w:p w14:paraId="7F4620E2" w14:textId="77777777" w:rsidR="001B1E6C" w:rsidRPr="001B1E6C" w:rsidRDefault="001B1E6C" w:rsidP="001B1E6C">
      <w:r w:rsidRPr="001B1E6C">
        <w:t>Nessas condições, a manutenção do feito sem a adequada observância do Tema 1.387/STJ enseja a perpetuação de decisão formalmente inválida, sendo plenamente cabível a correção do vício antes do trânsito em julgado, por meio do chamamento do feito à ordem, a fim de que o julgamento seja ajustado ao entendimento vinculante da Corte Superior.</w:t>
      </w:r>
    </w:p>
    <w:p w14:paraId="71F582EF" w14:textId="77777777" w:rsidR="001B1E6C" w:rsidRPr="001B1E6C" w:rsidRDefault="001B1E6C" w:rsidP="001B1E6C">
      <w:pPr>
        <w:spacing w:before="240"/>
        <w:ind w:firstLine="0"/>
        <w:rPr>
          <w:b/>
          <w:bCs/>
        </w:rPr>
      </w:pPr>
      <w:r w:rsidRPr="001B1E6C">
        <w:rPr>
          <w:b/>
          <w:bCs/>
        </w:rPr>
        <w:t>III – DA NECESSIDADE DE ADEQUAÇÃO DO JULGADO</w:t>
      </w:r>
    </w:p>
    <w:p w14:paraId="72ACF9DD" w14:textId="5AB09983" w:rsidR="001B1E6C" w:rsidRPr="001B1E6C" w:rsidRDefault="001B1E6C" w:rsidP="001B1E6C">
      <w:pPr>
        <w:ind w:firstLine="0"/>
      </w:pPr>
      <w:r>
        <w:tab/>
      </w:r>
      <w:r w:rsidRPr="001B1E6C">
        <w:t>Conforme expressamente reconhecido pelo STJ, o saque integral:</w:t>
      </w:r>
    </w:p>
    <w:p w14:paraId="70FA9AFA" w14:textId="62BDCD45" w:rsidR="001B1E6C" w:rsidRPr="001B1E6C" w:rsidRDefault="001B1E6C" w:rsidP="001B1E6C">
      <w:pPr>
        <w:pStyle w:val="PargrafodaLista"/>
        <w:numPr>
          <w:ilvl w:val="0"/>
          <w:numId w:val="3"/>
        </w:numPr>
        <w:rPr>
          <w:i/>
          <w:iCs/>
        </w:rPr>
      </w:pPr>
      <w:r w:rsidRPr="001B1E6C">
        <w:rPr>
          <w:i/>
          <w:iCs/>
        </w:rPr>
        <w:t>Dá ciência inequívoca ao titular do valor reputado devido;</w:t>
      </w:r>
    </w:p>
    <w:p w14:paraId="59186739" w14:textId="01E68F3F" w:rsidR="001B1E6C" w:rsidRPr="001B1E6C" w:rsidRDefault="001B1E6C" w:rsidP="001B1E6C">
      <w:pPr>
        <w:pStyle w:val="PargrafodaLista"/>
        <w:numPr>
          <w:ilvl w:val="0"/>
          <w:numId w:val="3"/>
        </w:numPr>
        <w:rPr>
          <w:i/>
          <w:iCs/>
        </w:rPr>
      </w:pPr>
      <w:r w:rsidRPr="001B1E6C">
        <w:rPr>
          <w:i/>
          <w:iCs/>
        </w:rPr>
        <w:t>Encerra a relação jurídica de administração da conta individualizada;</w:t>
      </w:r>
    </w:p>
    <w:p w14:paraId="183CE008" w14:textId="203FB1AC" w:rsidR="001B1E6C" w:rsidRPr="001B1E6C" w:rsidRDefault="001B1E6C" w:rsidP="001B1E6C">
      <w:pPr>
        <w:pStyle w:val="PargrafodaLista"/>
        <w:numPr>
          <w:ilvl w:val="0"/>
          <w:numId w:val="3"/>
        </w:numPr>
        <w:rPr>
          <w:i/>
          <w:iCs/>
        </w:rPr>
      </w:pPr>
      <w:r w:rsidRPr="001B1E6C">
        <w:rPr>
          <w:i/>
          <w:iCs/>
        </w:rPr>
        <w:t>Inicia, de forma objetiva, o curso do prazo prescricional.</w:t>
      </w:r>
    </w:p>
    <w:p w14:paraId="726B6314" w14:textId="36302318" w:rsidR="001B1E6C" w:rsidRDefault="001B1E6C" w:rsidP="001B1E6C">
      <w:pPr>
        <w:ind w:firstLine="0"/>
      </w:pPr>
      <w:r>
        <w:tab/>
      </w:r>
      <w:r w:rsidRPr="001B1E6C">
        <w:t xml:space="preserve">Assim, impõe-se a adequação do julgamento ao entendimento vinculante, reconhecendo-se a </w:t>
      </w:r>
      <w:r w:rsidRPr="001B1E6C">
        <w:rPr>
          <w:b/>
          <w:bCs/>
        </w:rPr>
        <w:t>prescrição da pretensão autoral</w:t>
      </w:r>
      <w:r w:rsidRPr="001B1E6C">
        <w:t>, com a extinção do feito com resolução do mérito.</w:t>
      </w:r>
    </w:p>
    <w:p w14:paraId="61F061AB" w14:textId="3A82BD58" w:rsidR="001B1E6C" w:rsidRPr="001B1E6C" w:rsidRDefault="001B1E6C" w:rsidP="001B1E6C">
      <w:pPr>
        <w:spacing w:before="240"/>
        <w:ind w:firstLine="0"/>
        <w:rPr>
          <w:b/>
          <w:bCs/>
        </w:rPr>
      </w:pPr>
      <w:r>
        <w:rPr>
          <w:b/>
          <w:bCs/>
        </w:rPr>
        <w:t>I</w:t>
      </w:r>
      <w:r w:rsidRPr="001B1E6C">
        <w:rPr>
          <w:b/>
          <w:bCs/>
        </w:rPr>
        <w:t>V – DOS HONORÁRIOS ADVOCATÍCIOS</w:t>
      </w:r>
    </w:p>
    <w:p w14:paraId="5DDFBB28" w14:textId="77777777" w:rsidR="001B1E6C" w:rsidRPr="001B1E6C" w:rsidRDefault="001B1E6C" w:rsidP="001B1E6C">
      <w:pPr>
        <w:ind w:firstLine="426"/>
      </w:pPr>
      <w:r w:rsidRPr="001B1E6C">
        <w:lastRenderedPageBreak/>
        <w:t>A adequação da sentença ao entendimento vinculante firmado no Tema 1.387 do STJ, com o reconhecimento da prescrição, conduz necessariamente à extinção do feito com resolução do mérito, atraindo a aplicação do art. 85 do Código de Processo Civil.</w:t>
      </w:r>
    </w:p>
    <w:p w14:paraId="59F099D7" w14:textId="77777777" w:rsidR="001B1E6C" w:rsidRDefault="001B1E6C" w:rsidP="001B1E6C">
      <w:pPr>
        <w:rPr>
          <w:shd w:val="clear" w:color="auto" w:fill="FFFF00"/>
        </w:rPr>
      </w:pPr>
      <w:r w:rsidRPr="001B1E6C">
        <w:t>A parte autora deu causa à instauração e ao prosseguimento do processo, mesmo após a consolidação da orientação jurisprudencial acerca do termo inicial da prescrição nas demandas envolvendo contas individualizadas do PASEP, razão pela qual deve ser condenada ao pagamento das verbas sucumbenciais.</w:t>
      </w:r>
      <w:r>
        <w:t xml:space="preserve"> </w:t>
      </w:r>
      <w:r w:rsidRPr="00720DE1">
        <w:rPr>
          <w:shd w:val="clear" w:color="auto" w:fill="FFFF00"/>
        </w:rPr>
        <w:t>Conforme se observa nos autos, a parte autora é Servidor Público aposentado, conforme contracheque/comprovante:</w:t>
      </w:r>
    </w:p>
    <w:p w14:paraId="7E4AB6C1" w14:textId="77777777" w:rsidR="001B1E6C" w:rsidRDefault="001B1E6C" w:rsidP="001B1E6C">
      <w:pPr>
        <w:rPr>
          <w:shd w:val="clear" w:color="auto" w:fill="FFFF00"/>
        </w:rPr>
      </w:pPr>
    </w:p>
    <w:p w14:paraId="1351F3C4" w14:textId="77777777" w:rsidR="001B1E6C" w:rsidRDefault="001B1E6C" w:rsidP="001B1E6C">
      <w:pPr>
        <w:ind w:firstLine="0"/>
        <w:jc w:val="center"/>
        <w:rPr>
          <w:shd w:val="clear" w:color="auto" w:fill="FFFF00"/>
        </w:rPr>
      </w:pPr>
      <w:r>
        <w:rPr>
          <w:shd w:val="clear" w:color="auto" w:fill="FFFF00"/>
        </w:rPr>
        <w:t>Inserir comprovante</w:t>
      </w:r>
    </w:p>
    <w:p w14:paraId="6B1BC5CB" w14:textId="4A015E2D" w:rsidR="001B1E6C" w:rsidRPr="001B1E6C" w:rsidRDefault="001B1E6C" w:rsidP="001B1E6C">
      <w:pPr>
        <w:ind w:firstLine="426"/>
      </w:pPr>
    </w:p>
    <w:p w14:paraId="237FFBE7" w14:textId="77777777" w:rsidR="001B1E6C" w:rsidRPr="001B1E6C" w:rsidRDefault="001B1E6C" w:rsidP="001B1E6C">
      <w:pPr>
        <w:ind w:firstLine="426"/>
      </w:pPr>
      <w:r w:rsidRPr="001B1E6C">
        <w:t>Requer-se, assim, a condenação da parte autora ao pagamento de honorários advocatícios, a serem fixados por Vossa Excelência em patamar compatível com a complexidade da causa e o trabalho desenvolvido, nos termos do art. 85, §2º, do CPC.</w:t>
      </w:r>
    </w:p>
    <w:p w14:paraId="3F72A48C" w14:textId="204B1F75" w:rsidR="001B1E6C" w:rsidRPr="001B1E6C" w:rsidRDefault="001B1E6C" w:rsidP="001B1E6C">
      <w:pPr>
        <w:ind w:firstLine="0"/>
        <w:rPr>
          <w:b/>
          <w:bCs/>
        </w:rPr>
      </w:pPr>
      <w:r w:rsidRPr="001B1E6C">
        <w:rPr>
          <w:b/>
          <w:bCs/>
        </w:rPr>
        <w:t>V – PEDIDOS</w:t>
      </w:r>
    </w:p>
    <w:p w14:paraId="2C1F6F12" w14:textId="77777777" w:rsidR="001B1E6C" w:rsidRPr="001B1E6C" w:rsidRDefault="001B1E6C" w:rsidP="001B1E6C">
      <w:pPr>
        <w:ind w:firstLine="0"/>
      </w:pPr>
      <w:r w:rsidRPr="001B1E6C">
        <w:t>Diante do exposto, requer:</w:t>
      </w:r>
    </w:p>
    <w:p w14:paraId="67BFF51E" w14:textId="77777777" w:rsidR="001B1E6C" w:rsidRPr="001B1E6C" w:rsidRDefault="001B1E6C" w:rsidP="001B1E6C">
      <w:pPr>
        <w:pStyle w:val="PargrafodaLista"/>
        <w:numPr>
          <w:ilvl w:val="0"/>
          <w:numId w:val="4"/>
        </w:numPr>
        <w:rPr>
          <w:i/>
          <w:iCs/>
        </w:rPr>
      </w:pPr>
      <w:r w:rsidRPr="001B1E6C">
        <w:rPr>
          <w:i/>
          <w:iCs/>
        </w:rPr>
        <w:t>O chamamento do feito à ordem, para adequação da sentença ao entendimento firmado no Tema 1.387/STJ;</w:t>
      </w:r>
      <w:r w:rsidRPr="001B1E6C">
        <w:rPr>
          <w:i/>
          <w:iCs/>
        </w:rPr>
        <w:tab/>
      </w:r>
    </w:p>
    <w:p w14:paraId="4A2B5F0F" w14:textId="77777777" w:rsidR="001B1E6C" w:rsidRPr="001B1E6C" w:rsidRDefault="001B1E6C" w:rsidP="001B1E6C">
      <w:pPr>
        <w:pStyle w:val="PargrafodaLista"/>
        <w:numPr>
          <w:ilvl w:val="0"/>
          <w:numId w:val="4"/>
        </w:numPr>
        <w:rPr>
          <w:i/>
          <w:iCs/>
        </w:rPr>
      </w:pPr>
      <w:r w:rsidRPr="001B1E6C">
        <w:rPr>
          <w:i/>
          <w:iCs/>
        </w:rPr>
        <w:t>O reconhecimento da prescrição, com a consequente extinção do processo com resolução do mérito, nos termos do art. 487, II, do CPC;</w:t>
      </w:r>
      <w:r w:rsidRPr="001B1E6C">
        <w:rPr>
          <w:i/>
          <w:iCs/>
        </w:rPr>
        <w:tab/>
      </w:r>
    </w:p>
    <w:p w14:paraId="7CEA9025" w14:textId="77777777" w:rsidR="001B1E6C" w:rsidRPr="001B1E6C" w:rsidRDefault="001B1E6C" w:rsidP="001B1E6C">
      <w:pPr>
        <w:pStyle w:val="PargrafodaLista"/>
        <w:numPr>
          <w:ilvl w:val="0"/>
          <w:numId w:val="4"/>
        </w:numPr>
        <w:rPr>
          <w:i/>
          <w:iCs/>
        </w:rPr>
      </w:pPr>
      <w:r w:rsidRPr="001B1E6C">
        <w:rPr>
          <w:i/>
          <w:iCs/>
        </w:rPr>
        <w:t>A retificação do julgado, evitando-se a interposição de recursos desnecessários e garantindo a observância da jurisprudência vinculante.</w:t>
      </w:r>
    </w:p>
    <w:p w14:paraId="10BBFD62" w14:textId="4DA8E981" w:rsidR="001B1E6C" w:rsidRPr="001B1E6C" w:rsidRDefault="001B1E6C" w:rsidP="001B1E6C">
      <w:pPr>
        <w:pStyle w:val="PargrafodaLista"/>
        <w:numPr>
          <w:ilvl w:val="0"/>
          <w:numId w:val="4"/>
        </w:numPr>
        <w:rPr>
          <w:i/>
          <w:iCs/>
        </w:rPr>
      </w:pPr>
      <w:r w:rsidRPr="001B1E6C">
        <w:rPr>
          <w:i/>
          <w:iCs/>
        </w:rPr>
        <w:t>A condenação do autor em honorários sucumbenciais.</w:t>
      </w:r>
    </w:p>
    <w:p w14:paraId="591CDE55" w14:textId="77777777" w:rsidR="00026CB7" w:rsidRDefault="00026CB7" w:rsidP="001B1E6C">
      <w:pPr>
        <w:ind w:firstLine="0"/>
      </w:pPr>
    </w:p>
    <w:p w14:paraId="79A57F86" w14:textId="77777777" w:rsidR="001B1E6C" w:rsidRPr="00720DE1" w:rsidRDefault="001B1E6C" w:rsidP="001B1E6C">
      <w:pPr>
        <w:ind w:firstLine="0"/>
        <w:jc w:val="left"/>
        <w:rPr>
          <w:i/>
          <w:iCs/>
        </w:rPr>
      </w:pPr>
      <w:r w:rsidRPr="00720DE1">
        <w:rPr>
          <w:i/>
          <w:iCs/>
        </w:rPr>
        <w:t>Termos em que, pede deferimento.</w:t>
      </w:r>
    </w:p>
    <w:p w14:paraId="5D1A2FDD" w14:textId="77777777" w:rsidR="001B1E6C" w:rsidRPr="00720DE1" w:rsidRDefault="001B1E6C" w:rsidP="001B1E6C">
      <w:pPr>
        <w:ind w:firstLine="0"/>
        <w:jc w:val="left"/>
        <w:rPr>
          <w:i/>
          <w:iCs/>
        </w:rPr>
      </w:pPr>
      <w:r w:rsidRPr="00720DE1">
        <w:rPr>
          <w:i/>
          <w:iCs/>
        </w:rPr>
        <w:t xml:space="preserve">Natal RN, em </w:t>
      </w:r>
      <w:r w:rsidRPr="00720DE1">
        <w:rPr>
          <w:i/>
          <w:iCs/>
          <w:shd w:val="clear" w:color="auto" w:fill="FFFF00"/>
        </w:rPr>
        <w:t>27 de janeiro de 2025</w:t>
      </w:r>
    </w:p>
    <w:p w14:paraId="50AB189C" w14:textId="77777777" w:rsidR="001B1E6C" w:rsidRDefault="001B1E6C" w:rsidP="001B1E6C">
      <w:pPr>
        <w:ind w:firstLine="0"/>
      </w:pPr>
    </w:p>
    <w:p w14:paraId="4EDC0505" w14:textId="77777777" w:rsidR="001B1E6C" w:rsidRPr="00720DE1" w:rsidRDefault="001B1E6C" w:rsidP="001B1E6C">
      <w:pPr>
        <w:spacing w:after="0"/>
        <w:ind w:firstLine="0"/>
        <w:jc w:val="center"/>
        <w:rPr>
          <w:b/>
          <w:bCs/>
        </w:rPr>
      </w:pPr>
      <w:r w:rsidRPr="00720DE1">
        <w:rPr>
          <w:b/>
          <w:bCs/>
        </w:rPr>
        <w:t>MARCOS DELLI RIBEIRO RODRIGUES</w:t>
      </w:r>
    </w:p>
    <w:p w14:paraId="69B95D51" w14:textId="77777777" w:rsidR="001B1E6C" w:rsidRPr="00720DE1" w:rsidRDefault="001B1E6C" w:rsidP="001B1E6C">
      <w:pPr>
        <w:spacing w:after="0"/>
        <w:ind w:firstLine="0"/>
        <w:jc w:val="center"/>
        <w:rPr>
          <w:i/>
          <w:iCs/>
        </w:rPr>
      </w:pPr>
      <w:r w:rsidRPr="00720DE1">
        <w:rPr>
          <w:i/>
          <w:iCs/>
        </w:rPr>
        <w:t>OAB/RN 5553</w:t>
      </w:r>
    </w:p>
    <w:p w14:paraId="4523634E" w14:textId="77777777" w:rsidR="001B1E6C" w:rsidRPr="00026CB7" w:rsidRDefault="001B1E6C" w:rsidP="001B1E6C">
      <w:pPr>
        <w:ind w:firstLine="0"/>
      </w:pPr>
    </w:p>
    <w:sectPr w:rsidR="001B1E6C" w:rsidRPr="00026CB7" w:rsidSect="00E30321">
      <w:headerReference w:type="default" r:id="rId7"/>
      <w:pgSz w:w="11906" w:h="16838"/>
      <w:pgMar w:top="1418" w:right="1134" w:bottom="1247" w:left="1134" w:header="153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57281" w14:textId="77777777" w:rsidR="004F7469" w:rsidRDefault="004F7469" w:rsidP="004F7469">
      <w:pPr>
        <w:spacing w:after="0" w:line="240" w:lineRule="auto"/>
      </w:pPr>
      <w:r>
        <w:separator/>
      </w:r>
    </w:p>
  </w:endnote>
  <w:endnote w:type="continuationSeparator" w:id="0">
    <w:p w14:paraId="75384532" w14:textId="77777777" w:rsidR="004F7469" w:rsidRDefault="004F7469" w:rsidP="004F7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15CF4" w14:textId="77777777" w:rsidR="004F7469" w:rsidRDefault="004F7469" w:rsidP="004F7469">
      <w:pPr>
        <w:spacing w:after="0" w:line="240" w:lineRule="auto"/>
      </w:pPr>
      <w:r>
        <w:separator/>
      </w:r>
    </w:p>
  </w:footnote>
  <w:footnote w:type="continuationSeparator" w:id="0">
    <w:p w14:paraId="0DE69B8C" w14:textId="77777777" w:rsidR="004F7469" w:rsidRDefault="004F7469" w:rsidP="004F74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1C120" w14:textId="67D466D6" w:rsidR="004F7469" w:rsidRDefault="004F7469" w:rsidP="004F7469">
    <w:pPr>
      <w:pStyle w:val="Cabealho"/>
      <w:tabs>
        <w:tab w:val="clear" w:pos="4252"/>
        <w:tab w:val="clear" w:pos="8504"/>
        <w:tab w:val="left" w:pos="1035"/>
      </w:tabs>
    </w:pPr>
    <w:r>
      <w:rPr>
        <w:noProof/>
      </w:rPr>
      <w:drawing>
        <wp:anchor distT="0" distB="0" distL="114300" distR="114300" simplePos="0" relativeHeight="251658240" behindDoc="1" locked="0" layoutInCell="1" allowOverlap="1" wp14:anchorId="29F1FBB4" wp14:editId="39AAE2DD">
          <wp:simplePos x="0" y="0"/>
          <wp:positionH relativeFrom="page">
            <wp:posOffset>16510</wp:posOffset>
          </wp:positionH>
          <wp:positionV relativeFrom="paragraph">
            <wp:posOffset>-949325</wp:posOffset>
          </wp:positionV>
          <wp:extent cx="7543800" cy="10670540"/>
          <wp:effectExtent l="0" t="0" r="0" b="0"/>
          <wp:wrapNone/>
          <wp:docPr id="14343436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74641" name="Imagem 1506674641"/>
                  <pic:cNvPicPr/>
                </pic:nvPicPr>
                <pic:blipFill>
                  <a:blip r:embed="rId1">
                    <a:extLst>
                      <a:ext uri="{28A0092B-C50C-407E-A947-70E740481C1C}">
                        <a14:useLocalDpi xmlns:a14="http://schemas.microsoft.com/office/drawing/2010/main" val="0"/>
                      </a:ext>
                    </a:extLst>
                  </a:blip>
                  <a:stretch>
                    <a:fillRect/>
                  </a:stretch>
                </pic:blipFill>
                <pic:spPr>
                  <a:xfrm>
                    <a:off x="0" y="0"/>
                    <a:ext cx="7543800" cy="106705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E2856"/>
    <w:multiLevelType w:val="hybridMultilevel"/>
    <w:tmpl w:val="39200B12"/>
    <w:lvl w:ilvl="0" w:tplc="F968973C">
      <w:start w:val="1"/>
      <w:numFmt w:val="upperRoman"/>
      <w:pStyle w:val="Ttulo1"/>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92F5E5E"/>
    <w:multiLevelType w:val="hybridMultilevel"/>
    <w:tmpl w:val="32101A02"/>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 w15:restartNumberingAfterBreak="0">
    <w:nsid w:val="66A7747B"/>
    <w:multiLevelType w:val="hybridMultilevel"/>
    <w:tmpl w:val="E61A16C4"/>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3B531B1"/>
    <w:multiLevelType w:val="multilevel"/>
    <w:tmpl w:val="227E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067931">
    <w:abstractNumId w:val="0"/>
  </w:num>
  <w:num w:numId="2" w16cid:durableId="601184357">
    <w:abstractNumId w:val="3"/>
  </w:num>
  <w:num w:numId="3" w16cid:durableId="1860968410">
    <w:abstractNumId w:val="1"/>
  </w:num>
  <w:num w:numId="4" w16cid:durableId="18377635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69"/>
    <w:rsid w:val="00026CB7"/>
    <w:rsid w:val="00033416"/>
    <w:rsid w:val="00180BCF"/>
    <w:rsid w:val="001B1E6C"/>
    <w:rsid w:val="003A463F"/>
    <w:rsid w:val="003E6E89"/>
    <w:rsid w:val="004434CA"/>
    <w:rsid w:val="004E7974"/>
    <w:rsid w:val="004F7469"/>
    <w:rsid w:val="008C4164"/>
    <w:rsid w:val="00A150A9"/>
    <w:rsid w:val="00A20EDC"/>
    <w:rsid w:val="00A44134"/>
    <w:rsid w:val="00B85D8A"/>
    <w:rsid w:val="00E30321"/>
    <w:rsid w:val="00F761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2D85B"/>
  <w15:chartTrackingRefBased/>
  <w15:docId w15:val="{B349F1A0-8131-4ED3-A58B-3188FE0D4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drão"/>
    <w:qFormat/>
    <w:rsid w:val="00F7612E"/>
    <w:pPr>
      <w:ind w:firstLine="709"/>
      <w:jc w:val="both"/>
    </w:pPr>
    <w:rPr>
      <w:rFonts w:ascii="Palatino Linotype" w:hAnsi="Palatino Linotype"/>
      <w:color w:val="000000" w:themeColor="text1"/>
    </w:rPr>
  </w:style>
  <w:style w:type="paragraph" w:styleId="Ttulo1">
    <w:name w:val="heading 1"/>
    <w:basedOn w:val="Normal"/>
    <w:next w:val="Normal"/>
    <w:link w:val="Ttulo1Char"/>
    <w:uiPriority w:val="9"/>
    <w:qFormat/>
    <w:rsid w:val="00F7612E"/>
    <w:pPr>
      <w:keepNext/>
      <w:keepLines/>
      <w:numPr>
        <w:numId w:val="1"/>
      </w:numPr>
      <w:spacing w:before="160" w:after="80"/>
      <w:outlineLvl w:val="0"/>
    </w:pPr>
    <w:rPr>
      <w:rFonts w:eastAsiaTheme="majorEastAsia" w:cstheme="majorBidi"/>
      <w:b/>
      <w:caps/>
      <w:color w:val="324664"/>
      <w:sz w:val="28"/>
      <w:szCs w:val="40"/>
    </w:rPr>
  </w:style>
  <w:style w:type="paragraph" w:styleId="Ttulo2">
    <w:name w:val="heading 2"/>
    <w:basedOn w:val="Normal"/>
    <w:next w:val="Normal"/>
    <w:link w:val="Ttulo2Char"/>
    <w:uiPriority w:val="9"/>
    <w:unhideWhenUsed/>
    <w:qFormat/>
    <w:rsid w:val="00F7612E"/>
    <w:pPr>
      <w:keepNext/>
      <w:keepLines/>
      <w:spacing w:before="80" w:line="240" w:lineRule="auto"/>
      <w:ind w:firstLine="0"/>
      <w:outlineLvl w:val="1"/>
    </w:pPr>
    <w:rPr>
      <w:rFonts w:eastAsiaTheme="majorEastAsia" w:cstheme="majorBidi"/>
      <w:b/>
      <w:i/>
      <w:caps/>
      <w:color w:val="324664"/>
      <w:sz w:val="26"/>
      <w:szCs w:val="32"/>
    </w:rPr>
  </w:style>
  <w:style w:type="paragraph" w:styleId="Ttulo3">
    <w:name w:val="heading 3"/>
    <w:basedOn w:val="Normal"/>
    <w:next w:val="Normal"/>
    <w:link w:val="Ttulo3Char"/>
    <w:uiPriority w:val="9"/>
    <w:unhideWhenUsed/>
    <w:qFormat/>
    <w:rsid w:val="00026CB7"/>
    <w:pPr>
      <w:keepNext/>
      <w:keepLines/>
      <w:spacing w:before="160" w:line="240" w:lineRule="auto"/>
      <w:ind w:firstLine="0"/>
      <w:jc w:val="center"/>
      <w:outlineLvl w:val="2"/>
    </w:pPr>
    <w:rPr>
      <w:rFonts w:eastAsiaTheme="majorEastAsia" w:cstheme="majorBidi"/>
      <w:b/>
      <w:caps/>
      <w:color w:val="324664"/>
      <w:sz w:val="40"/>
      <w:szCs w:val="28"/>
    </w:rPr>
  </w:style>
  <w:style w:type="paragraph" w:styleId="Ttulo4">
    <w:name w:val="heading 4"/>
    <w:aliases w:val="Endereçamento"/>
    <w:basedOn w:val="Normal"/>
    <w:next w:val="Normal"/>
    <w:link w:val="Ttulo4Char"/>
    <w:uiPriority w:val="9"/>
    <w:unhideWhenUsed/>
    <w:qFormat/>
    <w:rsid w:val="00B85D8A"/>
    <w:pPr>
      <w:keepNext/>
      <w:keepLines/>
      <w:spacing w:line="240" w:lineRule="auto"/>
      <w:ind w:firstLine="0"/>
      <w:outlineLvl w:val="3"/>
    </w:pPr>
    <w:rPr>
      <w:rFonts w:eastAsiaTheme="majorEastAsia" w:cstheme="majorBidi"/>
      <w:b/>
      <w:iCs/>
      <w:caps/>
      <w:color w:val="324664"/>
    </w:rPr>
  </w:style>
  <w:style w:type="paragraph" w:styleId="Ttulo5">
    <w:name w:val="heading 5"/>
    <w:basedOn w:val="Normal"/>
    <w:next w:val="Normal"/>
    <w:link w:val="Ttulo5Char"/>
    <w:uiPriority w:val="9"/>
    <w:semiHidden/>
    <w:unhideWhenUsed/>
    <w:qFormat/>
    <w:rsid w:val="004F746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4F74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F74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F74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F746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7612E"/>
    <w:rPr>
      <w:rFonts w:ascii="Palatino Linotype" w:eastAsiaTheme="majorEastAsia" w:hAnsi="Palatino Linotype" w:cstheme="majorBidi"/>
      <w:b/>
      <w:caps/>
      <w:color w:val="324664"/>
      <w:sz w:val="28"/>
      <w:szCs w:val="40"/>
    </w:rPr>
  </w:style>
  <w:style w:type="character" w:customStyle="1" w:styleId="Ttulo2Char">
    <w:name w:val="Título 2 Char"/>
    <w:basedOn w:val="Fontepargpadro"/>
    <w:link w:val="Ttulo2"/>
    <w:uiPriority w:val="9"/>
    <w:rsid w:val="00F7612E"/>
    <w:rPr>
      <w:rFonts w:ascii="Palatino Linotype" w:eastAsiaTheme="majorEastAsia" w:hAnsi="Palatino Linotype" w:cstheme="majorBidi"/>
      <w:b/>
      <w:i/>
      <w:caps/>
      <w:color w:val="324664"/>
      <w:sz w:val="26"/>
      <w:szCs w:val="32"/>
    </w:rPr>
  </w:style>
  <w:style w:type="character" w:customStyle="1" w:styleId="Ttulo3Char">
    <w:name w:val="Título 3 Char"/>
    <w:basedOn w:val="Fontepargpadro"/>
    <w:link w:val="Ttulo3"/>
    <w:uiPriority w:val="9"/>
    <w:rsid w:val="00026CB7"/>
    <w:rPr>
      <w:rFonts w:ascii="Palatino Linotype" w:eastAsiaTheme="majorEastAsia" w:hAnsi="Palatino Linotype" w:cstheme="majorBidi"/>
      <w:b/>
      <w:caps/>
      <w:color w:val="324664"/>
      <w:sz w:val="40"/>
      <w:szCs w:val="28"/>
    </w:rPr>
  </w:style>
  <w:style w:type="character" w:customStyle="1" w:styleId="Ttulo4Char">
    <w:name w:val="Título 4 Char"/>
    <w:aliases w:val="Endereçamento Char"/>
    <w:basedOn w:val="Fontepargpadro"/>
    <w:link w:val="Ttulo4"/>
    <w:uiPriority w:val="9"/>
    <w:rsid w:val="00B85D8A"/>
    <w:rPr>
      <w:rFonts w:ascii="Palatino Linotype" w:eastAsiaTheme="majorEastAsia" w:hAnsi="Palatino Linotype" w:cstheme="majorBidi"/>
      <w:b/>
      <w:iCs/>
      <w:caps/>
      <w:color w:val="324664"/>
    </w:rPr>
  </w:style>
  <w:style w:type="character" w:customStyle="1" w:styleId="Ttulo5Char">
    <w:name w:val="Título 5 Char"/>
    <w:basedOn w:val="Fontepargpadro"/>
    <w:link w:val="Ttulo5"/>
    <w:uiPriority w:val="9"/>
    <w:semiHidden/>
    <w:rsid w:val="004F746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4F746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F746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F746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F7469"/>
    <w:rPr>
      <w:rFonts w:eastAsiaTheme="majorEastAsia" w:cstheme="majorBidi"/>
      <w:color w:val="272727" w:themeColor="text1" w:themeTint="D8"/>
    </w:rPr>
  </w:style>
  <w:style w:type="paragraph" w:styleId="Ttulo">
    <w:name w:val="Title"/>
    <w:basedOn w:val="Normal"/>
    <w:next w:val="Normal"/>
    <w:link w:val="TtuloChar"/>
    <w:uiPriority w:val="10"/>
    <w:qFormat/>
    <w:rsid w:val="004F7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F74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F7469"/>
    <w:pPr>
      <w:numPr>
        <w:ilvl w:val="1"/>
      </w:numPr>
      <w:ind w:firstLine="709"/>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F746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F7469"/>
    <w:pPr>
      <w:spacing w:before="160"/>
      <w:jc w:val="center"/>
    </w:pPr>
    <w:rPr>
      <w:i/>
      <w:iCs/>
      <w:color w:val="404040" w:themeColor="text1" w:themeTint="BF"/>
    </w:rPr>
  </w:style>
  <w:style w:type="character" w:customStyle="1" w:styleId="CitaoChar">
    <w:name w:val="Citação Char"/>
    <w:basedOn w:val="Fontepargpadro"/>
    <w:link w:val="Citao"/>
    <w:uiPriority w:val="29"/>
    <w:rsid w:val="004F7469"/>
    <w:rPr>
      <w:i/>
      <w:iCs/>
      <w:color w:val="404040" w:themeColor="text1" w:themeTint="BF"/>
    </w:rPr>
  </w:style>
  <w:style w:type="paragraph" w:styleId="PargrafodaLista">
    <w:name w:val="List Paragraph"/>
    <w:basedOn w:val="Normal"/>
    <w:uiPriority w:val="34"/>
    <w:qFormat/>
    <w:rsid w:val="004F7469"/>
    <w:pPr>
      <w:ind w:left="720"/>
      <w:contextualSpacing/>
    </w:pPr>
  </w:style>
  <w:style w:type="character" w:styleId="nfaseIntensa">
    <w:name w:val="Intense Emphasis"/>
    <w:basedOn w:val="Fontepargpadro"/>
    <w:uiPriority w:val="21"/>
    <w:qFormat/>
    <w:rsid w:val="004F7469"/>
    <w:rPr>
      <w:i/>
      <w:iCs/>
      <w:color w:val="2F5496" w:themeColor="accent1" w:themeShade="BF"/>
    </w:rPr>
  </w:style>
  <w:style w:type="paragraph" w:styleId="CitaoIntensa">
    <w:name w:val="Intense Quote"/>
    <w:basedOn w:val="Normal"/>
    <w:next w:val="Normal"/>
    <w:link w:val="CitaoIntensaChar"/>
    <w:uiPriority w:val="30"/>
    <w:qFormat/>
    <w:rsid w:val="004F74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4F7469"/>
    <w:rPr>
      <w:i/>
      <w:iCs/>
      <w:color w:val="2F5496" w:themeColor="accent1" w:themeShade="BF"/>
    </w:rPr>
  </w:style>
  <w:style w:type="character" w:styleId="RefernciaIntensa">
    <w:name w:val="Intense Reference"/>
    <w:basedOn w:val="Fontepargpadro"/>
    <w:uiPriority w:val="32"/>
    <w:qFormat/>
    <w:rsid w:val="004F7469"/>
    <w:rPr>
      <w:b/>
      <w:bCs/>
      <w:smallCaps/>
      <w:color w:val="2F5496" w:themeColor="accent1" w:themeShade="BF"/>
      <w:spacing w:val="5"/>
    </w:rPr>
  </w:style>
  <w:style w:type="paragraph" w:styleId="Cabealho">
    <w:name w:val="header"/>
    <w:basedOn w:val="Normal"/>
    <w:link w:val="CabealhoChar"/>
    <w:uiPriority w:val="99"/>
    <w:unhideWhenUsed/>
    <w:rsid w:val="004F746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F7469"/>
  </w:style>
  <w:style w:type="paragraph" w:styleId="Rodap">
    <w:name w:val="footer"/>
    <w:basedOn w:val="Normal"/>
    <w:link w:val="RodapChar"/>
    <w:uiPriority w:val="99"/>
    <w:unhideWhenUsed/>
    <w:rsid w:val="004F7469"/>
    <w:pPr>
      <w:tabs>
        <w:tab w:val="center" w:pos="4252"/>
        <w:tab w:val="right" w:pos="8504"/>
      </w:tabs>
      <w:spacing w:after="0" w:line="240" w:lineRule="auto"/>
    </w:pPr>
  </w:style>
  <w:style w:type="character" w:customStyle="1" w:styleId="RodapChar">
    <w:name w:val="Rodapé Char"/>
    <w:basedOn w:val="Fontepargpadro"/>
    <w:link w:val="Rodap"/>
    <w:uiPriority w:val="99"/>
    <w:rsid w:val="004F7469"/>
  </w:style>
  <w:style w:type="paragraph" w:styleId="SemEspaamento">
    <w:name w:val="No Spacing"/>
    <w:aliases w:val="CITAÇÃO"/>
    <w:uiPriority w:val="1"/>
    <w:qFormat/>
    <w:rsid w:val="00F7612E"/>
    <w:pPr>
      <w:spacing w:line="240" w:lineRule="auto"/>
      <w:ind w:left="2835"/>
      <w:jc w:val="both"/>
    </w:pPr>
    <w:rPr>
      <w:rFonts w:ascii="Palatino Linotype" w:hAnsi="Palatino Linotype"/>
      <w:color w:val="000000" w:themeColor="text1"/>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163285">
      <w:bodyDiv w:val="1"/>
      <w:marLeft w:val="0"/>
      <w:marRight w:val="0"/>
      <w:marTop w:val="0"/>
      <w:marBottom w:val="0"/>
      <w:divBdr>
        <w:top w:val="none" w:sz="0" w:space="0" w:color="auto"/>
        <w:left w:val="none" w:sz="0" w:space="0" w:color="auto"/>
        <w:bottom w:val="none" w:sz="0" w:space="0" w:color="auto"/>
        <w:right w:val="none" w:sz="0" w:space="0" w:color="auto"/>
      </w:divBdr>
    </w:div>
    <w:div w:id="1538421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873</Words>
  <Characters>4715</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HENRIQUE OLIVEIRA DA COSTA</dc:creator>
  <cp:keywords/>
  <dc:description/>
  <cp:lastModifiedBy>ÁLVARO ANDRIELLYS DE BRITO ALVES</cp:lastModifiedBy>
  <cp:revision>2</cp:revision>
  <dcterms:created xsi:type="dcterms:W3CDTF">2026-01-27T13:22:00Z</dcterms:created>
  <dcterms:modified xsi:type="dcterms:W3CDTF">2026-01-27T13:22:00Z</dcterms:modified>
</cp:coreProperties>
</file>