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F2F2" w14:textId="30EAF7CD" w:rsidR="0029030F" w:rsidRPr="002F0C51" w:rsidRDefault="00F60533" w:rsidP="0029030F">
      <w:pPr>
        <w:pStyle w:val="Ttulo4"/>
      </w:pPr>
      <w:r w:rsidRPr="00F60533">
        <w:t xml:space="preserve">EXCELENTÍSSIMO SENHOR DOUTOR JUIZ PRESIDENTE DO EGRÉGIO TRIBUNAL REGIONAL DO TRABALHO DA </w:t>
      </w:r>
      <w:r>
        <w:t>21</w:t>
      </w:r>
      <w:r w:rsidRPr="00F60533">
        <w:t>ª REGIÃO.</w:t>
      </w:r>
    </w:p>
    <w:p w14:paraId="67E0C124" w14:textId="77777777" w:rsidR="00F717F1" w:rsidRDefault="00F717F1" w:rsidP="0029030F">
      <w:pPr>
        <w:spacing w:after="0"/>
        <w:ind w:firstLine="0"/>
        <w:rPr>
          <w:rFonts w:ascii="Book Antiqua" w:hAnsi="Book Antiqua"/>
          <w:b/>
          <w:bCs/>
        </w:rPr>
      </w:pPr>
      <w:bookmarkStart w:id="0" w:name="_Toc173230121"/>
    </w:p>
    <w:p w14:paraId="1A552E73" w14:textId="7E448864" w:rsidR="0029030F" w:rsidRPr="00AF5BC0" w:rsidRDefault="0029030F" w:rsidP="00F36BDC">
      <w:pPr>
        <w:spacing w:after="0"/>
        <w:ind w:firstLine="0"/>
        <w:rPr>
          <w:color w:val="auto"/>
        </w:rPr>
      </w:pPr>
      <w:r w:rsidRPr="00AF5BC0">
        <w:rPr>
          <w:color w:val="auto"/>
        </w:rPr>
        <w:t xml:space="preserve">Processo nº </w:t>
      </w:r>
      <w:bookmarkEnd w:id="0"/>
      <w:r w:rsidR="00EE6489" w:rsidRPr="00AF5BC0">
        <w:rPr>
          <w:color w:val="auto"/>
        </w:rPr>
        <w:t>0000306-13.2025.5.21.0024</w:t>
      </w:r>
    </w:p>
    <w:p w14:paraId="7C30B34E" w14:textId="11B8BBAA" w:rsidR="00EE6489" w:rsidRDefault="002168F6" w:rsidP="00F36BDC">
      <w:pPr>
        <w:spacing w:after="0"/>
        <w:ind w:firstLine="0"/>
        <w:rPr>
          <w:rFonts w:ascii="Book Antiqua" w:hAnsi="Book Antiqua"/>
        </w:rPr>
      </w:pPr>
      <w:r w:rsidRPr="0070211F">
        <w:rPr>
          <w:b/>
          <w:bCs/>
          <w:noProof/>
        </w:rPr>
        <mc:AlternateContent>
          <mc:Choice Requires="wps">
            <w:drawing>
              <wp:anchor distT="0" distB="0" distL="114300" distR="114300" simplePos="0" relativeHeight="251659264" behindDoc="0" locked="0" layoutInCell="1" allowOverlap="1" wp14:anchorId="77041CD4" wp14:editId="73D2FA6E">
                <wp:simplePos x="0" y="0"/>
                <wp:positionH relativeFrom="margin">
                  <wp:posOffset>0</wp:posOffset>
                </wp:positionH>
                <wp:positionV relativeFrom="paragraph">
                  <wp:posOffset>-635</wp:posOffset>
                </wp:positionV>
                <wp:extent cx="6301740" cy="7620"/>
                <wp:effectExtent l="0" t="0" r="22860" b="30480"/>
                <wp:wrapNone/>
                <wp:docPr id="1480551401" name="Conector re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301740" cy="762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34B767" id="Conector reto 14"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96.2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" strokecolor="black [3200]" strokeweight="1pt">
                <v:stroke joinstyle="miter"/>
                <o:lock v:ext="edit" shapetype="f"/>
                <w10:wrap anchorx="margin"/>
              </v:line>
            </w:pict>
          </mc:Fallback>
        </mc:AlternateContent>
      </w:r>
    </w:p>
    <w:p w14:paraId="25888606" w14:textId="77777777" w:rsidR="00F717F1" w:rsidRPr="00F36BDC" w:rsidRDefault="00F717F1" w:rsidP="00F36BDC">
      <w:pPr>
        <w:spacing w:after="0"/>
        <w:ind w:firstLine="0"/>
        <w:rPr>
          <w:rFonts w:ascii="Book Antiqua" w:hAnsi="Book Antiqua"/>
        </w:rPr>
      </w:pPr>
    </w:p>
    <w:p w14:paraId="0E498D62" w14:textId="4E3162D1" w:rsidR="00F717F1" w:rsidRPr="00A83239" w:rsidRDefault="00B01F64" w:rsidP="00F717F1">
      <w:pPr>
        <w:rPr>
          <w:bCs/>
        </w:rPr>
      </w:pPr>
      <w:r w:rsidRPr="00F717F1">
        <w:rPr>
          <w:rStyle w:val="Ttulo4Char"/>
        </w:rPr>
        <w:t>BANCO DO BRASIL S.A.</w:t>
      </w:r>
      <w:r w:rsidRPr="00B01F64">
        <w:t xml:space="preserve">, bastante qualificado nos autos do processo em epígrafe, inconformado, </w:t>
      </w:r>
      <w:r w:rsidR="00A83239">
        <w:t xml:space="preserve">que lhe move </w:t>
      </w:r>
      <w:r w:rsidR="00EE6489" w:rsidRPr="00EE6489">
        <w:rPr>
          <w:rFonts w:eastAsiaTheme="majorEastAsia" w:cstheme="majorBidi"/>
          <w:b/>
          <w:iCs/>
          <w:caps/>
          <w:color w:val="324664"/>
        </w:rPr>
        <w:t>Francivan de Souza Pereira</w:t>
      </w:r>
      <w:r w:rsidR="00A83239">
        <w:rPr>
          <w:rStyle w:val="Ttulo4Char"/>
        </w:rPr>
        <w:t>,</w:t>
      </w:r>
      <w:r w:rsidR="00A83239" w:rsidRPr="00A83239">
        <w:rPr>
          <w:rStyle w:val="Ttulo4Char"/>
        </w:rPr>
        <w:t xml:space="preserve"> </w:t>
      </w:r>
      <w:r w:rsidRPr="00B01F64">
        <w:t xml:space="preserve">data </w:t>
      </w:r>
      <w:r w:rsidR="00084F92" w:rsidRPr="00B01F64">
        <w:t>máxima</w:t>
      </w:r>
      <w:r w:rsidRPr="00B01F64">
        <w:t xml:space="preserve"> </w:t>
      </w:r>
      <w:r w:rsidR="00A83239" w:rsidRPr="00B01F64">
        <w:t>vênia</w:t>
      </w:r>
      <w:r w:rsidRPr="00B01F64">
        <w:t xml:space="preserve">, com a r. decisão proferida, vem à presença de V. Exa. interpor o presente </w:t>
      </w:r>
      <w:r w:rsidRPr="00F717F1">
        <w:rPr>
          <w:rStyle w:val="Ttulo4Char"/>
        </w:rPr>
        <w:t xml:space="preserve">RECURSO </w:t>
      </w:r>
      <w:r w:rsidR="006D578A">
        <w:rPr>
          <w:rStyle w:val="Ttulo4Char"/>
        </w:rPr>
        <w:t xml:space="preserve">de revista </w:t>
      </w:r>
      <w:r w:rsidR="00A83239" w:rsidRPr="00A83239">
        <w:rPr>
          <w:bCs/>
          <w:iCs/>
        </w:rPr>
        <w:t>com fulcro no artigo 896</w:t>
      </w:r>
      <w:r w:rsidR="00A83239" w:rsidRPr="00A83239">
        <w:rPr>
          <w:bCs/>
        </w:rPr>
        <w:t>,</w:t>
      </w:r>
      <w:r w:rsidR="00A83239">
        <w:rPr>
          <w:bCs/>
        </w:rPr>
        <w:t xml:space="preserve"> </w:t>
      </w:r>
      <w:r w:rsidR="009821B4" w:rsidRPr="009821B4">
        <w:rPr>
          <w:bCs/>
        </w:rPr>
        <w:t>§ 9º,</w:t>
      </w:r>
      <w:r w:rsidR="00A83239">
        <w:rPr>
          <w:bCs/>
        </w:rPr>
        <w:t xml:space="preserve"> da CLT,</w:t>
      </w:r>
      <w:r w:rsidR="00A83239" w:rsidRPr="00A83239">
        <w:rPr>
          <w:bCs/>
        </w:rPr>
        <w:t xml:space="preserve"> pelas razões anexas à presente</w:t>
      </w:r>
      <w:r w:rsidR="00045463">
        <w:rPr>
          <w:bCs/>
        </w:rPr>
        <w:t>,</w:t>
      </w:r>
      <w:r w:rsidR="00045463" w:rsidRPr="00045463">
        <w:rPr>
          <w:bCs/>
        </w:rPr>
        <w:t xml:space="preserve"> requerendo sua juntada aos autos e consecutivo envio ao Egrégio Tribunal Superior do Trabalho.</w:t>
      </w:r>
    </w:p>
    <w:p w14:paraId="7351BC41" w14:textId="77777777" w:rsidR="00F876AD" w:rsidRDefault="00F876AD" w:rsidP="00F876AD">
      <w:pPr>
        <w:pStyle w:val="SemEspaamento"/>
      </w:pPr>
    </w:p>
    <w:p w14:paraId="53442DAD" w14:textId="77777777" w:rsidR="00F717F1" w:rsidRPr="00ED2705" w:rsidRDefault="00F717F1" w:rsidP="00F717F1">
      <w:pPr>
        <w:spacing w:after="0"/>
        <w:ind w:firstLine="0"/>
        <w:jc w:val="center"/>
      </w:pPr>
      <w:r w:rsidRPr="00ED2705">
        <w:t>Nestes termos, pede deferimento.</w:t>
      </w:r>
    </w:p>
    <w:p w14:paraId="79992873" w14:textId="77777777" w:rsidR="00F717F1" w:rsidRDefault="00F717F1" w:rsidP="00F717F1">
      <w:pPr>
        <w:spacing w:after="0"/>
        <w:ind w:firstLine="0"/>
        <w:jc w:val="center"/>
      </w:pPr>
      <w:r w:rsidRPr="00ED2705">
        <w:t>Natal, data do protocolo.</w:t>
      </w:r>
    </w:p>
    <w:p w14:paraId="03B1C57B" w14:textId="77777777" w:rsidR="00F717F1" w:rsidRPr="00ED2705" w:rsidRDefault="00F717F1" w:rsidP="00F717F1">
      <w:pPr>
        <w:spacing w:after="0"/>
        <w:ind w:firstLine="0"/>
        <w:jc w:val="center"/>
      </w:pPr>
    </w:p>
    <w:p w14:paraId="55F1C358" w14:textId="77777777" w:rsidR="00F717F1" w:rsidRPr="00EB776F" w:rsidRDefault="00F717F1" w:rsidP="00F717F1">
      <w:pPr>
        <w:spacing w:after="0"/>
        <w:ind w:firstLine="0"/>
        <w:jc w:val="center"/>
        <w:rPr>
          <w:b/>
          <w:bCs/>
          <w:color w:val="1F3864" w:themeColor="accent1" w:themeShade="80"/>
        </w:rPr>
      </w:pPr>
      <w:r w:rsidRPr="00EB776F">
        <w:rPr>
          <w:b/>
          <w:bCs/>
          <w:color w:val="1F3864" w:themeColor="accent1" w:themeShade="80"/>
        </w:rPr>
        <w:t>MARCOS DÉLLI RIBEIRO RODRIGUES</w:t>
      </w:r>
    </w:p>
    <w:p w14:paraId="36DFE1A2" w14:textId="77777777" w:rsidR="00F717F1" w:rsidRPr="00F32567" w:rsidRDefault="00F717F1" w:rsidP="00F717F1">
      <w:pPr>
        <w:spacing w:after="0"/>
        <w:ind w:firstLine="0"/>
        <w:jc w:val="center"/>
      </w:pPr>
      <w:r w:rsidRPr="00126F5B">
        <w:t xml:space="preserve">OAB/RN 5.553; </w:t>
      </w:r>
    </w:p>
    <w:p w14:paraId="1CAD55C7" w14:textId="77777777" w:rsidR="00F717F1" w:rsidRDefault="00F717F1" w:rsidP="00F876AD">
      <w:pPr>
        <w:pStyle w:val="SemEspaamento"/>
      </w:pPr>
    </w:p>
    <w:p w14:paraId="304A6434" w14:textId="77777777" w:rsidR="00F717F1" w:rsidRDefault="00F717F1" w:rsidP="00F876AD">
      <w:pPr>
        <w:pStyle w:val="SemEspaamento"/>
      </w:pPr>
    </w:p>
    <w:p w14:paraId="74FAA711" w14:textId="77777777" w:rsidR="00F717F1" w:rsidRDefault="00F717F1" w:rsidP="00F876AD">
      <w:pPr>
        <w:pStyle w:val="SemEspaamento"/>
      </w:pPr>
    </w:p>
    <w:p w14:paraId="3D0BDCB6" w14:textId="77777777" w:rsidR="00F717F1" w:rsidRDefault="00F717F1" w:rsidP="00F876AD">
      <w:pPr>
        <w:pStyle w:val="SemEspaamento"/>
      </w:pPr>
    </w:p>
    <w:p w14:paraId="3FB337D8" w14:textId="77777777" w:rsidR="00F717F1" w:rsidRDefault="00F717F1" w:rsidP="00F876AD">
      <w:pPr>
        <w:pStyle w:val="SemEspaamento"/>
      </w:pPr>
    </w:p>
    <w:p w14:paraId="09CBB60B" w14:textId="77777777" w:rsidR="00F717F1" w:rsidRDefault="00F717F1" w:rsidP="00F876AD">
      <w:pPr>
        <w:pStyle w:val="SemEspaamento"/>
      </w:pPr>
    </w:p>
    <w:p w14:paraId="71794783" w14:textId="77777777" w:rsidR="00F717F1" w:rsidRDefault="00F717F1" w:rsidP="00F876AD">
      <w:pPr>
        <w:pStyle w:val="SemEspaamento"/>
      </w:pPr>
    </w:p>
    <w:p w14:paraId="6905541D" w14:textId="77777777" w:rsidR="00F717F1" w:rsidRDefault="00F717F1" w:rsidP="00F876AD">
      <w:pPr>
        <w:pStyle w:val="SemEspaamento"/>
      </w:pPr>
    </w:p>
    <w:p w14:paraId="1154CBE2" w14:textId="77777777" w:rsidR="00F717F1" w:rsidRDefault="00F717F1" w:rsidP="00F876AD">
      <w:pPr>
        <w:pStyle w:val="SemEspaamento"/>
      </w:pPr>
    </w:p>
    <w:p w14:paraId="0E45781B" w14:textId="77777777" w:rsidR="00F717F1" w:rsidRDefault="00F717F1" w:rsidP="00F876AD">
      <w:pPr>
        <w:pStyle w:val="SemEspaamento"/>
      </w:pPr>
    </w:p>
    <w:p w14:paraId="291BC64E" w14:textId="77777777" w:rsidR="002168F6" w:rsidRDefault="002168F6" w:rsidP="00F876AD">
      <w:pPr>
        <w:pStyle w:val="SemEspaamento"/>
      </w:pPr>
    </w:p>
    <w:p w14:paraId="3AB968C6" w14:textId="77777777" w:rsidR="009821B4" w:rsidRDefault="009821B4" w:rsidP="00F876AD">
      <w:pPr>
        <w:pStyle w:val="SemEspaamento"/>
      </w:pPr>
    </w:p>
    <w:p w14:paraId="73BE50C6" w14:textId="77777777" w:rsidR="00F717F1" w:rsidRDefault="00F717F1" w:rsidP="00F876AD">
      <w:pPr>
        <w:pStyle w:val="SemEspaamento"/>
      </w:pPr>
    </w:p>
    <w:p w14:paraId="5EBA0B91" w14:textId="77777777" w:rsidR="00F717F1" w:rsidRDefault="00F717F1" w:rsidP="00F876AD">
      <w:pPr>
        <w:pStyle w:val="SemEspaamento"/>
      </w:pPr>
    </w:p>
    <w:p w14:paraId="7306C94E" w14:textId="77777777" w:rsidR="00045463" w:rsidRDefault="00045463" w:rsidP="00F876AD">
      <w:pPr>
        <w:pStyle w:val="SemEspaamento"/>
      </w:pPr>
    </w:p>
    <w:p w14:paraId="4B8EF139" w14:textId="66C7854D" w:rsidR="007B5B2C" w:rsidRDefault="00F9190B" w:rsidP="00322433">
      <w:pPr>
        <w:pStyle w:val="Ttulo4"/>
      </w:pPr>
      <w:r>
        <w:lastRenderedPageBreak/>
        <w:t>COLENDO</w:t>
      </w:r>
      <w:r w:rsidR="007B5B2C">
        <w:t xml:space="preserve"> TRIBUNAL SUPERIOR DO TRABALHO</w:t>
      </w:r>
    </w:p>
    <w:p w14:paraId="319FBB95" w14:textId="77777777" w:rsidR="00322433" w:rsidRPr="00322433" w:rsidRDefault="00322433" w:rsidP="00322433">
      <w:pPr>
        <w:rPr>
          <w:sz w:val="16"/>
          <w:szCs w:val="16"/>
        </w:rPr>
      </w:pPr>
    </w:p>
    <w:p w14:paraId="45C8F9DD" w14:textId="314A80E1" w:rsidR="007B5B2C" w:rsidRDefault="007B5B2C" w:rsidP="007B5B2C">
      <w:pPr>
        <w:spacing w:after="0"/>
        <w:ind w:firstLine="0"/>
      </w:pPr>
      <w:r>
        <w:t xml:space="preserve">Processo: </w:t>
      </w:r>
      <w:r w:rsidR="00806612" w:rsidRPr="00806612">
        <w:t>0000306-13.2025.5.21.0024</w:t>
      </w:r>
    </w:p>
    <w:p w14:paraId="4A266B2D" w14:textId="1170D93C" w:rsidR="007B5B2C" w:rsidRDefault="007B5B2C" w:rsidP="007B5B2C">
      <w:pPr>
        <w:spacing w:after="0"/>
        <w:ind w:firstLine="0"/>
      </w:pPr>
      <w:r>
        <w:t xml:space="preserve">Origem: 3ª Vara do Trabalho de </w:t>
      </w:r>
      <w:r w:rsidR="002C4F7C">
        <w:t>Macau</w:t>
      </w:r>
      <w:r>
        <w:t xml:space="preserve"> – TRT 21ª Região</w:t>
      </w:r>
    </w:p>
    <w:p w14:paraId="3EEA79A9" w14:textId="15B82FC1" w:rsidR="007B5B2C" w:rsidRDefault="007B5B2C" w:rsidP="007B5B2C">
      <w:pPr>
        <w:spacing w:after="0"/>
        <w:ind w:firstLine="0"/>
      </w:pPr>
      <w:r>
        <w:t xml:space="preserve">Recorrente: </w:t>
      </w:r>
      <w:r w:rsidR="00FB34A7" w:rsidRPr="00FB34A7">
        <w:t>BANCO DO BRASIL SA</w:t>
      </w:r>
      <w:r>
        <w:tab/>
      </w:r>
    </w:p>
    <w:p w14:paraId="3DB4BC3C" w14:textId="51782EBA" w:rsidR="00C11AC3" w:rsidRDefault="007B5B2C" w:rsidP="007B5B2C">
      <w:pPr>
        <w:spacing w:after="0"/>
        <w:ind w:firstLine="0"/>
      </w:pPr>
      <w:r>
        <w:t xml:space="preserve">Recorrido: </w:t>
      </w:r>
      <w:r w:rsidR="00FB34A7" w:rsidRPr="00FB34A7">
        <w:t>FRANCIVAN DE SOUZA PEREIRA</w:t>
      </w:r>
    </w:p>
    <w:p w14:paraId="69CE37F3" w14:textId="77777777" w:rsidR="007B5B2C" w:rsidRDefault="007B5B2C" w:rsidP="007B5B2C">
      <w:pPr>
        <w:pStyle w:val="SemEspaamento"/>
      </w:pPr>
    </w:p>
    <w:p w14:paraId="677C3AAB" w14:textId="034E2440" w:rsidR="00045463" w:rsidRDefault="00F9190B" w:rsidP="007B5B2C">
      <w:pPr>
        <w:pStyle w:val="Ttulo4"/>
        <w:jc w:val="center"/>
      </w:pPr>
      <w:r>
        <w:t xml:space="preserve">RAZÕES DO RECURSO DE REVISTA </w:t>
      </w:r>
    </w:p>
    <w:p w14:paraId="71510AEB" w14:textId="77777777" w:rsidR="00045463" w:rsidRDefault="00045463" w:rsidP="00F876AD">
      <w:pPr>
        <w:pStyle w:val="SemEspaamento"/>
      </w:pPr>
    </w:p>
    <w:p w14:paraId="16757B48" w14:textId="1A485A5D" w:rsidR="00785480" w:rsidRDefault="009F709E" w:rsidP="00322433">
      <w:r>
        <w:t>Colendo Tribunal, o acórdão recorrido, não obstante o reconhecido brilho da Turma Julgadora que o proferiu, merece reforma, vez que, data vênia, encontra-se em completa dissonância com os ditames legais, e atual jurisprudência da Corte Superior Trabalhista.</w:t>
      </w:r>
    </w:p>
    <w:p w14:paraId="0DE5811A" w14:textId="4DC9AB18" w:rsidR="002564B4" w:rsidRDefault="002564B4" w:rsidP="007C2276">
      <w:pPr>
        <w:pStyle w:val="Ttulo1"/>
      </w:pPr>
      <w:r>
        <w:t xml:space="preserve">DOS PRESSUPOSTOS EXTRÍNSECOS </w:t>
      </w:r>
    </w:p>
    <w:p w14:paraId="30D76EDF" w14:textId="75AED352" w:rsidR="0089200C" w:rsidRPr="0089200C" w:rsidRDefault="0089200C" w:rsidP="006E7808">
      <w:r w:rsidRPr="0089200C">
        <w:rPr>
          <w:u w:val="single"/>
        </w:rPr>
        <w:t>Recurso tempestivo</w:t>
      </w:r>
      <w:r w:rsidRPr="0089200C">
        <w:t xml:space="preserve">. Decisão publicada em </w:t>
      </w:r>
      <w:r w:rsidR="0005470C" w:rsidRPr="0005470C">
        <w:t xml:space="preserve">26/09/2025 </w:t>
      </w:r>
      <w:r w:rsidRPr="0089200C">
        <w:t xml:space="preserve">ID </w:t>
      </w:r>
      <w:r w:rsidR="006607B9" w:rsidRPr="006607B9">
        <w:t>be29e08</w:t>
      </w:r>
      <w:r w:rsidRPr="0089200C">
        <w:t>.</w:t>
      </w:r>
      <w:r w:rsidR="006607B9">
        <w:t xml:space="preserve"> </w:t>
      </w:r>
      <w:r w:rsidRPr="0089200C">
        <w:t xml:space="preserve">Assim, o início do prazo para interposição do presente Recurso é o dia </w:t>
      </w:r>
      <w:r w:rsidR="00F14A13">
        <w:t>29</w:t>
      </w:r>
      <w:r w:rsidRPr="0089200C">
        <w:t>/0</w:t>
      </w:r>
      <w:r w:rsidR="00F14A13">
        <w:t>9</w:t>
      </w:r>
      <w:r w:rsidRPr="0089200C">
        <w:t>/20</w:t>
      </w:r>
      <w:r w:rsidR="00F14A13">
        <w:t>25</w:t>
      </w:r>
      <w:r w:rsidRPr="0089200C">
        <w:t xml:space="preserve">, e o término em </w:t>
      </w:r>
      <w:r w:rsidR="00AD42A0">
        <w:t>09</w:t>
      </w:r>
      <w:r w:rsidR="00AD42A0" w:rsidRPr="0089200C">
        <w:t>/</w:t>
      </w:r>
      <w:r w:rsidR="00AD42A0">
        <w:t>10</w:t>
      </w:r>
      <w:r w:rsidR="00AD42A0" w:rsidRPr="0089200C">
        <w:t>/20</w:t>
      </w:r>
      <w:r w:rsidR="00AD42A0">
        <w:t>25</w:t>
      </w:r>
      <w:r w:rsidRPr="0089200C">
        <w:t>.</w:t>
      </w:r>
    </w:p>
    <w:p w14:paraId="4C845C00" w14:textId="2A6D76B8" w:rsidR="0089200C" w:rsidRPr="0089200C" w:rsidRDefault="0089200C" w:rsidP="006E7808">
      <w:r w:rsidRPr="0089200C">
        <w:rPr>
          <w:u w:val="single"/>
        </w:rPr>
        <w:t>Representação processual regular</w:t>
      </w:r>
      <w:r w:rsidRPr="0089200C">
        <w:t xml:space="preserve">. A procuração do subscritor do recurso se encontra no ID </w:t>
      </w:r>
      <w:r w:rsidR="00E30188" w:rsidRPr="00E30188">
        <w:t>14bc771</w:t>
      </w:r>
      <w:r w:rsidR="00AD42A0">
        <w:t>.</w:t>
      </w:r>
    </w:p>
    <w:p w14:paraId="0CCA5833" w14:textId="08F498EB" w:rsidR="0089200C" w:rsidRDefault="0089200C" w:rsidP="006E7808">
      <w:r w:rsidRPr="0089200C">
        <w:rPr>
          <w:u w:val="single"/>
        </w:rPr>
        <w:t>Depósito Recursal e Custas</w:t>
      </w:r>
      <w:r w:rsidRPr="0089200C">
        <w:t xml:space="preserve">. Ao interpor o Recurso Ordinário, a Reclamada anexou aos autos os comprovantes de recolhimento do depósito recursal e das custas processuais, nos </w:t>
      </w:r>
      <w:proofErr w:type="spellStart"/>
      <w:r w:rsidRPr="0089200C">
        <w:t>I</w:t>
      </w:r>
      <w:r w:rsidR="00197FD8">
        <w:t>D</w:t>
      </w:r>
      <w:r w:rsidRPr="0089200C">
        <w:t>s</w:t>
      </w:r>
      <w:proofErr w:type="spellEnd"/>
      <w:r w:rsidR="00197FD8">
        <w:t>.</w:t>
      </w:r>
      <w:r w:rsidRPr="0089200C">
        <w:t xml:space="preserve"> </w:t>
      </w:r>
      <w:r w:rsidR="000E4865" w:rsidRPr="000E4865">
        <w:t>1002bf1</w:t>
      </w:r>
      <w:r w:rsidRPr="0089200C">
        <w:t xml:space="preserve"> e </w:t>
      </w:r>
      <w:r w:rsidR="000E4865" w:rsidRPr="000E4865">
        <w:t>ba4f852</w:t>
      </w:r>
      <w:r w:rsidRPr="0089200C">
        <w:t>. Ao interpor o presente Recurso de Revista, a Reclamada depositou o valor de R$</w:t>
      </w:r>
      <w:r w:rsidR="00B72089" w:rsidRPr="00B72089">
        <w:t xml:space="preserve"> 27.627,66</w:t>
      </w:r>
      <w:r w:rsidRPr="0089200C">
        <w:t xml:space="preserve">, </w:t>
      </w:r>
      <w:r w:rsidR="00B72089">
        <w:t xml:space="preserve">conforme os valores vigentes </w:t>
      </w:r>
      <w:r w:rsidR="00197FD8" w:rsidRPr="00197FD8">
        <w:t>definidos pelo Ato SEGJUD.GP n° 391/202</w:t>
      </w:r>
      <w:r w:rsidR="00197FD8">
        <w:t>5.</w:t>
      </w:r>
    </w:p>
    <w:p w14:paraId="144D7D3F" w14:textId="77777777" w:rsidR="00785480" w:rsidRPr="0089200C" w:rsidRDefault="00785480" w:rsidP="0089200C"/>
    <w:p w14:paraId="1B36274A" w14:textId="16BE0595" w:rsidR="006C21C0" w:rsidRPr="006C21C0" w:rsidRDefault="007C2276" w:rsidP="00361A78">
      <w:pPr>
        <w:pStyle w:val="Ttulo1"/>
      </w:pPr>
      <w:r w:rsidRPr="007C2276">
        <w:t>DOS PRESSUPOSTOS INTRÍNSECOS</w:t>
      </w:r>
      <w:r w:rsidR="00361A78">
        <w:t xml:space="preserve"> - </w:t>
      </w:r>
      <w:r w:rsidR="006C21C0" w:rsidRPr="006C21C0">
        <w:t>DO CABIMENTO DA REVISTA</w:t>
      </w:r>
      <w:r w:rsidR="00361A78">
        <w:t>:</w:t>
      </w:r>
    </w:p>
    <w:p w14:paraId="2D7244D3" w14:textId="05EEB561" w:rsidR="001C1ADA" w:rsidRPr="001C1ADA" w:rsidRDefault="001C1ADA" w:rsidP="001C1ADA">
      <w:r w:rsidRPr="001C1ADA">
        <w:t>Nos termos do art. 896, § 9º, da CLT, o Recurso de Revista, em processos submetidos ao rito sumaríssimo, só é cabível quando demonstrada violação direta da Constituição Federal ou contrariedade a súmula vinculante ou de jurisprudência uniforme do TST.</w:t>
      </w:r>
    </w:p>
    <w:p w14:paraId="13C72800" w14:textId="77777777" w:rsidR="001C1ADA" w:rsidRPr="001C1ADA" w:rsidRDefault="001C1ADA" w:rsidP="001C1ADA">
      <w:r w:rsidRPr="001C1ADA">
        <w:t>No caso em apreço, o v. acórdão regional diverge frontalmente da tese firmada pelo Supremo Tribunal Federal nos Temas 246 e 1.118 da Repercussão Geral e contraria expressamente a Súmula 331, V, do TST, o que enseja o cabimento do presente recurso.</w:t>
      </w:r>
    </w:p>
    <w:p w14:paraId="0DE7A3A0" w14:textId="77777777" w:rsidR="001C1ADA" w:rsidRDefault="001C1ADA" w:rsidP="009C0262"/>
    <w:p w14:paraId="46C6DB7E" w14:textId="319A7783" w:rsidR="009C0262" w:rsidRDefault="009C0262" w:rsidP="009C0262">
      <w:r>
        <w:t>Nesse caso, o Recurso de Revista é cabível por</w:t>
      </w:r>
      <w:r w:rsidR="00A55BAA">
        <w:t>:</w:t>
      </w:r>
    </w:p>
    <w:p w14:paraId="2BA86862" w14:textId="469EAC5D" w:rsidR="00A55BAA" w:rsidRPr="00CC4FBE" w:rsidRDefault="00A55BAA" w:rsidP="00322433">
      <w:pPr>
        <w:pStyle w:val="PargrafodaLista"/>
        <w:numPr>
          <w:ilvl w:val="0"/>
          <w:numId w:val="2"/>
        </w:numPr>
      </w:pPr>
      <w:r w:rsidRPr="00A55BAA">
        <w:t xml:space="preserve">Contraria o entendimento vinculante do Supremo Tribunal Federal nos Temas 246 e 1.118 </w:t>
      </w:r>
      <w:r w:rsidRPr="00CC4FBE">
        <w:t>de Repercussão Geral</w:t>
      </w:r>
      <w:r w:rsidR="001D3A83">
        <w:t xml:space="preserve"> e </w:t>
      </w:r>
      <w:r w:rsidR="001D3A83" w:rsidRPr="001D3A83">
        <w:t>Súmula 331, V, do TST</w:t>
      </w:r>
      <w:r w:rsidRPr="00CC4FBE">
        <w:t>;</w:t>
      </w:r>
    </w:p>
    <w:p w14:paraId="76B9411A" w14:textId="3083440D" w:rsidR="00A55BAA" w:rsidRPr="00CC4FBE" w:rsidRDefault="00A55BAA" w:rsidP="00322433">
      <w:pPr>
        <w:pStyle w:val="PargrafodaLista"/>
        <w:numPr>
          <w:ilvl w:val="0"/>
          <w:numId w:val="2"/>
        </w:numPr>
      </w:pPr>
      <w:r w:rsidRPr="00CC4FBE">
        <w:t xml:space="preserve">Viola </w:t>
      </w:r>
      <w:r w:rsidR="00F42317">
        <w:t>o entendimento trazido pel</w:t>
      </w:r>
      <w:r w:rsidR="00F94126">
        <w:t xml:space="preserve">o </w:t>
      </w:r>
      <w:proofErr w:type="spellStart"/>
      <w:r w:rsidR="00F94126">
        <w:t>Art</w:t>
      </w:r>
      <w:proofErr w:type="spellEnd"/>
      <w:r w:rsidR="00F94126">
        <w:t xml:space="preserve"> </w:t>
      </w:r>
      <w:r w:rsidRPr="00CC4FBE">
        <w:t>5º, II,</w:t>
      </w:r>
      <w:r w:rsidR="00CF7AF9" w:rsidRPr="00CC4FBE">
        <w:t xml:space="preserve"> </w:t>
      </w:r>
      <w:r w:rsidR="00716A95">
        <w:t xml:space="preserve">e </w:t>
      </w:r>
      <w:r w:rsidR="00CF7AF9" w:rsidRPr="00CF7AF9">
        <w:t>102, §2º, da Constituição Federal</w:t>
      </w:r>
      <w:r w:rsidRPr="00CC4FBE">
        <w:t>;</w:t>
      </w:r>
    </w:p>
    <w:p w14:paraId="565FEB52" w14:textId="2FCC3010" w:rsidR="00C71FF9" w:rsidRDefault="00A55BAA" w:rsidP="00322433">
      <w:pPr>
        <w:pStyle w:val="PargrafodaLista"/>
        <w:numPr>
          <w:ilvl w:val="0"/>
          <w:numId w:val="2"/>
        </w:numPr>
      </w:pPr>
      <w:r w:rsidRPr="00A55BAA">
        <w:t>Diverge de precedentes pacificados do Tribunal Superior do Trabalho sobre a inaplicabilidade da responsabilidade subsidiária automática a entes da Administração Pública.</w:t>
      </w:r>
    </w:p>
    <w:p w14:paraId="147E4248" w14:textId="193C1014" w:rsidR="000D7804" w:rsidRDefault="000D7804" w:rsidP="006E7808">
      <w:r w:rsidRPr="000D7804">
        <w:t>O Tribunal Regional manteve a condenação subsidiária do Banco do Brasil, sob o fundamento de que, embora o ente público tenha apresentado documentos de fiscalização contratual (PADs, notificações e aplicação de multa), tais medidas teriam sido “ineficazes” para impedir o inadimplemento trabalhista, configurando “nexo de causalidade” entre a omissão fiscalizatória e o dano sofrido pelo trabalhado</w:t>
      </w:r>
      <w:r w:rsidR="00627F4E">
        <w:t>, ainda que sem prova feita pela reclamante</w:t>
      </w:r>
      <w:r>
        <w:t>.</w:t>
      </w:r>
    </w:p>
    <w:p w14:paraId="62AB8EC5" w14:textId="004D3C37" w:rsidR="001D3A83" w:rsidRDefault="001D3A83" w:rsidP="006E7808">
      <w:r w:rsidRPr="001D3A83">
        <w:t xml:space="preserve">Dessa forma, restou configurada a violação direta aos </w:t>
      </w:r>
      <w:proofErr w:type="spellStart"/>
      <w:r w:rsidRPr="001D3A83">
        <w:t>arts</w:t>
      </w:r>
      <w:proofErr w:type="spellEnd"/>
      <w:r w:rsidRPr="001D3A83">
        <w:t xml:space="preserve">. 5º, II, da Constituição Federal, além da contrariedade à Súmula 331, V, do TST, </w:t>
      </w:r>
      <w:r w:rsidR="00BD7921">
        <w:t xml:space="preserve">vez que </w:t>
      </w:r>
      <w:r w:rsidR="00BD7921" w:rsidRPr="001A3BC4">
        <w:t>atribui obrigação de natureza patrimonial sem amparo legal, estendendo ao tomador de serviços responsabilidade trabalhista que a lei não prevê, configurando ofensa ao princípio da legalidade.</w:t>
      </w:r>
      <w:r w:rsidR="00BD7921">
        <w:t xml:space="preserve"> I</w:t>
      </w:r>
      <w:r w:rsidRPr="001D3A83">
        <w:t>mpondo-se a reforma integral do acórdão, a fim de excluir a responsabilidade subsidiária imposta ao Banco do Brasil S.A.</w:t>
      </w:r>
      <w:r w:rsidR="001A3BC4">
        <w:t xml:space="preserve"> </w:t>
      </w:r>
    </w:p>
    <w:p w14:paraId="66419C9C" w14:textId="101757AD" w:rsidR="008D1333" w:rsidRDefault="008D1333" w:rsidP="006E7808">
      <w:r w:rsidRPr="008D1333">
        <w:t>Por fim, o art. 102, §2º, da Constituição Federal impõe efeito vinculante às decisões proferidas pelo Supremo Tribunal Federal em sede de controle concentrado de constitucionalidade. No julgamento da ADC 16 e do Tema 246 de Repercussão Geral, o STF firmou entendimento no sentido de que a responsabilidade subsidiária da Administração Pública e de suas entidades controladas não é automática, devendo ser comprovada a conduta culposa na fiscalização do contrato</w:t>
      </w:r>
      <w:r w:rsidR="00F82375">
        <w:t xml:space="preserve"> atribuindo o ônus ao reclamante</w:t>
      </w:r>
      <w:r w:rsidRPr="008D1333">
        <w:t>.</w:t>
      </w:r>
    </w:p>
    <w:p w14:paraId="0596A0C7" w14:textId="77777777" w:rsidR="008E450E" w:rsidRPr="008E450E" w:rsidRDefault="008E450E" w:rsidP="008E450E">
      <w:r w:rsidRPr="008E450E">
        <w:t>A controvérsia revela a necessidade de uniformização da interpretação acerca da extensão e dos limites do Tema 1.118 da Repercussão Geral do STF, que fixou a impossibilidade de transferência automática da responsabilidade subsidiária ao ente público.</w:t>
      </w:r>
    </w:p>
    <w:p w14:paraId="03844D50" w14:textId="2455794F" w:rsidR="008E450E" w:rsidRDefault="008E450E" w:rsidP="008E450E">
      <w:r w:rsidRPr="008E450E">
        <w:t>Os Tribunais Regionais têm aplicado o precedente de forma desigual, especialmente quanto à configuração da culpa</w:t>
      </w:r>
      <w:r w:rsidRPr="008E450E">
        <w:rPr>
          <w:i/>
          <w:iCs/>
        </w:rPr>
        <w:t xml:space="preserve"> in vigilando</w:t>
      </w:r>
      <w:r w:rsidRPr="008E450E">
        <w:t xml:space="preserve"> e à distribuição do ônus da prova, gerando evidente insegurança jurídica. Compete ao TST, portanto, definir o alcance da tese firmada </w:t>
      </w:r>
      <w:r w:rsidRPr="008E450E">
        <w:lastRenderedPageBreak/>
        <w:t>pela Suprema Corte e harmonizar sua aplicação, assegurando uniformidade, estabilidade e coerência ao sistema de precedentes obrigatórios.</w:t>
      </w:r>
    </w:p>
    <w:p w14:paraId="01141CEC" w14:textId="02AD534F" w:rsidR="008E450E" w:rsidRPr="00CF7AF9" w:rsidRDefault="00CF7AF9" w:rsidP="006D1926">
      <w:r w:rsidRPr="00CF7AF9">
        <w:t>Assim, o presente Recurso de Revista é plenamente cabível</w:t>
      </w:r>
      <w:r>
        <w:t xml:space="preserve">, </w:t>
      </w:r>
      <w:r w:rsidRPr="00CF7AF9">
        <w:t>por se tratar de matéria constitucional e vinculante.</w:t>
      </w:r>
    </w:p>
    <w:p w14:paraId="5A147F47" w14:textId="77777777" w:rsidR="000D7804" w:rsidRPr="000D7804" w:rsidRDefault="000D7804" w:rsidP="000D7804">
      <w:pPr>
        <w:ind w:firstLine="0"/>
      </w:pPr>
    </w:p>
    <w:p w14:paraId="3799A6B9" w14:textId="25B46472" w:rsidR="00C71FF9" w:rsidRDefault="006A592A" w:rsidP="006A592A">
      <w:pPr>
        <w:pStyle w:val="Ttulo1"/>
      </w:pPr>
      <w:r w:rsidRPr="006A592A">
        <w:t xml:space="preserve">DA </w:t>
      </w:r>
      <w:r w:rsidRPr="00AC4641">
        <w:t>TRANSCENDÊNCIA</w:t>
      </w:r>
      <w:r w:rsidRPr="006A592A">
        <w:t xml:space="preserve"> DO RECURSO DE REVISTA.</w:t>
      </w:r>
    </w:p>
    <w:p w14:paraId="2551AC7B" w14:textId="4FE37036" w:rsidR="004B2852" w:rsidRPr="00E22A44" w:rsidRDefault="004B2852" w:rsidP="00E22A44">
      <w:r w:rsidRPr="00E22A44">
        <w:t xml:space="preserve">No caso em apreço, estão configuradas </w:t>
      </w:r>
      <w:r w:rsidRPr="00E22A44">
        <w:rPr>
          <w:rStyle w:val="Forte"/>
          <w:b w:val="0"/>
          <w:bCs w:val="0"/>
        </w:rPr>
        <w:t>as espécies de transcendência reconhecidas pelo Tribunal Superior do Trabalho</w:t>
      </w:r>
      <w:r w:rsidRPr="00E22A44">
        <w:t xml:space="preserve"> – </w:t>
      </w:r>
      <w:r w:rsidRPr="00E22A44">
        <w:rPr>
          <w:rStyle w:val="Forte"/>
          <w:b w:val="0"/>
          <w:bCs w:val="0"/>
        </w:rPr>
        <w:t>jurídic</w:t>
      </w:r>
      <w:r w:rsidR="00EF446F">
        <w:rPr>
          <w:rStyle w:val="Forte"/>
          <w:b w:val="0"/>
          <w:bCs w:val="0"/>
        </w:rPr>
        <w:t xml:space="preserve">a e </w:t>
      </w:r>
      <w:r w:rsidRPr="00E22A44">
        <w:rPr>
          <w:rStyle w:val="Forte"/>
          <w:b w:val="0"/>
          <w:bCs w:val="0"/>
        </w:rPr>
        <w:t>política,</w:t>
      </w:r>
      <w:r w:rsidR="00EF446F">
        <w:rPr>
          <w:rStyle w:val="Forte"/>
          <w:b w:val="0"/>
          <w:bCs w:val="0"/>
        </w:rPr>
        <w:t xml:space="preserve"> </w:t>
      </w:r>
      <w:r w:rsidRPr="00E22A44">
        <w:t>conforme se demonstra:</w:t>
      </w:r>
    </w:p>
    <w:p w14:paraId="1FCD8AE0" w14:textId="3177192C" w:rsidR="00BA2734" w:rsidRDefault="004B2852" w:rsidP="00BA2734">
      <w:r w:rsidRPr="00E22A44">
        <w:rPr>
          <w:rStyle w:val="Forte"/>
          <w:b w:val="0"/>
          <w:bCs w:val="0"/>
          <w:u w:val="single"/>
        </w:rPr>
        <w:t>Transcendência Jurídica</w:t>
      </w:r>
      <w:r w:rsidR="00E22A44" w:rsidRPr="00E22A44">
        <w:rPr>
          <w:u w:val="single"/>
        </w:rPr>
        <w:t xml:space="preserve">: </w:t>
      </w:r>
      <w:r w:rsidR="00BA2734">
        <w:t xml:space="preserve">O presente Recurso de Revista trata de questão de alta relevância jurídica, envolvendo a interpretação e a aplicação dos Temas 246 e 1.118 de Repercussão Geral do Supremo Tribunal Federal, ambos relacionados à responsabilidade subsidiária da Administração Pública nos contratos de terceirização. A controvérsia em exame transcende os interesses subjetivos das partes, pois se refere à correta aplicação de precedentes vinculantes e à necessária observância dos limites constitucionais da atuação da Justiça do Trabalho, especialmente no que concerne à distribuição do ônus da prova e à caracterização </w:t>
      </w:r>
      <w:r w:rsidR="00BA2734" w:rsidRPr="003D48B9">
        <w:t>da culpa</w:t>
      </w:r>
      <w:r w:rsidR="00BA2734" w:rsidRPr="00BA2734">
        <w:rPr>
          <w:i/>
          <w:iCs/>
        </w:rPr>
        <w:t xml:space="preserve"> in vigilando</w:t>
      </w:r>
      <w:r w:rsidR="00BA2734">
        <w:t>.</w:t>
      </w:r>
    </w:p>
    <w:p w14:paraId="1EE84673" w14:textId="1712DAAC" w:rsidR="00BA2734" w:rsidRDefault="00BA2734" w:rsidP="00BA2734">
      <w:pPr>
        <w:rPr>
          <w:rStyle w:val="Forte"/>
          <w:b w:val="0"/>
          <w:bCs w:val="0"/>
          <w:u w:val="single"/>
        </w:rPr>
      </w:pPr>
      <w:r>
        <w:t>A matéria possui natureza constitucional e vinculante, repercutindo diretamente sobre a uniformidade, estabilidade e integridade da jurisprudência trabalhista, na medida em que a decisão regional divergiu do entendimento consolidado pela Suprema Corte ao admitir a responsabilização automática do ente público, em afronta ao que foi expressamente decidido nos referidos Temas de Repercussão Geral. Diante disso, resta configurada a transcendência jurídica, nos termos do art. 896-A, §1º, IV, da CLT, por envolver questão cuja solução uniforme é essencial à segurança jurídica e à coerência do sistema de precedentes.</w:t>
      </w:r>
      <w:r w:rsidRPr="00E22A44">
        <w:rPr>
          <w:rStyle w:val="Forte"/>
          <w:b w:val="0"/>
          <w:bCs w:val="0"/>
          <w:u w:val="single"/>
        </w:rPr>
        <w:t xml:space="preserve"> </w:t>
      </w:r>
    </w:p>
    <w:p w14:paraId="6185E652" w14:textId="76C8368C" w:rsidR="001F0180" w:rsidRDefault="004B2852" w:rsidP="00136A15">
      <w:r w:rsidRPr="00E22A44">
        <w:rPr>
          <w:rStyle w:val="Forte"/>
          <w:b w:val="0"/>
          <w:bCs w:val="0"/>
          <w:u w:val="single"/>
        </w:rPr>
        <w:t>Transcendência Política</w:t>
      </w:r>
      <w:r w:rsidR="00E22A44" w:rsidRPr="00E22A44">
        <w:rPr>
          <w:u w:val="single"/>
        </w:rPr>
        <w:t>:</w:t>
      </w:r>
      <w:r w:rsidR="00E22A44">
        <w:t xml:space="preserve"> </w:t>
      </w:r>
      <w:r w:rsidR="001F0180">
        <w:t>Além disso, evidencia-se a transcendência política, uma vez que o acórdão recorrido estendeu a interpretação de decisão de observância obrigatória proferida pelo Supremo Tribunal Federal, violando o disposto no art. 102, §2º, da Constituição Federal, que atribui efeito vinculante às decisões definitivas proferidas em sede de controle concentrado ou de repercussão geral. A manutenção da decisão recorrida implicaria grave lesão ao princípio da hierarquia das decisões judiciais e à autoridade das decisões da Suprema Corte, comprometendo a efetividade do sistema de precedentes e o respeito à separação dos Poderes.</w:t>
      </w:r>
    </w:p>
    <w:p w14:paraId="7C8B5C8A" w14:textId="68E1CE06" w:rsidR="00A92477" w:rsidRDefault="001F0180" w:rsidP="001F0180">
      <w:r>
        <w:lastRenderedPageBreak/>
        <w:t>Assim, o presente recurso não apenas preenche os requisitos formais de admissibilidade, mas revela inequívoca relevância sob o ponto de vista jurídico e político, legitimando a atuação uniformizadora do Tribunal Superior do Trabalho.</w:t>
      </w:r>
    </w:p>
    <w:p w14:paraId="5BD9EDAA" w14:textId="77777777" w:rsidR="00136A15" w:rsidRDefault="00136A15" w:rsidP="001F0180"/>
    <w:p w14:paraId="04B75FC6" w14:textId="7F8FF735" w:rsidR="00CE271F" w:rsidRDefault="00D965EB" w:rsidP="00CE271F">
      <w:pPr>
        <w:pStyle w:val="Ttulo1"/>
      </w:pPr>
      <w:r w:rsidRPr="00D965EB">
        <w:t>DA EXPOSIÇÃO DAS RAZÕES DO PEDIDO DE REFORMA</w:t>
      </w:r>
      <w:r w:rsidR="00CE5082">
        <w:t xml:space="preserve"> - </w:t>
      </w:r>
      <w:r w:rsidR="00DB3CC1" w:rsidRPr="00103EA8">
        <w:t xml:space="preserve">DIVERGÊNCIA </w:t>
      </w:r>
      <w:r w:rsidR="00DB3CC1">
        <w:t>-</w:t>
      </w:r>
      <w:r w:rsidR="00CE271F">
        <w:t xml:space="preserve"> </w:t>
      </w:r>
      <w:r w:rsidR="00CE271F" w:rsidRPr="002B1D55">
        <w:t>DA CONTRARIEDADE À SÚMULA 331, V, DO TST</w:t>
      </w:r>
    </w:p>
    <w:p w14:paraId="09E1D812" w14:textId="77777777" w:rsidR="00CE271F" w:rsidRPr="00251B08" w:rsidRDefault="00CE271F" w:rsidP="00CE271F">
      <w:r w:rsidRPr="00251B08">
        <w:t>O v. acórdão recorrido reconheceu a responsabilidade subsidiária do Banco do Brasil S/A sob o fundamento de que teria havido “fiscalização falha, incapaz de evitar que a reclamada principal descumprisse as obrigações trabalhistas dos empregados”, concluindo que o “não pagamento das verbas é uma consequência direta da inércia do recorrente”.</w:t>
      </w:r>
    </w:p>
    <w:p w14:paraId="382AD34D" w14:textId="77777777" w:rsidR="00CE271F" w:rsidRDefault="00CE271F" w:rsidP="00CE271F">
      <w:r w:rsidRPr="00251B08">
        <w:t>Ainda consignou que, embora o Banco do Brasil S/A tenha juntado aos autos notificações e processos administrativos demonstrativos do acompanhamento contratual, “nenhuma das medidas foi eficaz”, razão pela qual teria restado configurada a omissão no dever de vigilância.</w:t>
      </w:r>
    </w:p>
    <w:p w14:paraId="5DF9039E" w14:textId="77777777" w:rsidR="00CE271F" w:rsidRDefault="00CE271F" w:rsidP="00CE271F">
      <w:r>
        <w:t>A Súmula 331, V, dispõe que:</w:t>
      </w:r>
    </w:p>
    <w:p w14:paraId="350CABA7" w14:textId="77777777" w:rsidR="00CE271F" w:rsidRDefault="00CE271F" w:rsidP="00CE271F">
      <w:pPr>
        <w:pStyle w:val="SemEspaamento"/>
      </w:pPr>
      <w:r>
        <w:t>Os entes integrantes da Administração Pública direta e indireta respondem subsidiariamente, nas mesmas condições do item IV, caso evidenciada a sua conduta culposa no cumprimento das obrigações da Lei nº 8.666/93, especialmente na fiscalização do cumprimento das obrigações contratuais e legais da prestadora de serviço como empregadora.</w:t>
      </w:r>
    </w:p>
    <w:p w14:paraId="4221E4AF" w14:textId="77777777" w:rsidR="00CE271F" w:rsidRDefault="00CE271F" w:rsidP="00CE271F">
      <w:r>
        <w:t>O acórdão diz:</w:t>
      </w:r>
    </w:p>
    <w:p w14:paraId="294EDE33" w14:textId="0F51B796" w:rsidR="00CE271F" w:rsidRPr="00251B08" w:rsidRDefault="00CE271F" w:rsidP="00CE271F">
      <w:pPr>
        <w:pStyle w:val="SemEspaamento"/>
      </w:pPr>
      <w:r>
        <w:t xml:space="preserve">...documentação que aponta para uma fiscalização falha, incapaz de evitar que a reclamada principal descumprisse as obrigações trabalhistas dos empregados </w:t>
      </w:r>
      <w:proofErr w:type="gramStart"/>
      <w:r>
        <w:t>[...] Assim</w:t>
      </w:r>
      <w:proofErr w:type="gramEnd"/>
      <w:r>
        <w:t>, o não pagamento das verbas é uma consequência direta da inércia do recorrente.</w:t>
      </w:r>
    </w:p>
    <w:p w14:paraId="51AF0F16" w14:textId="77777777" w:rsidR="00CE271F" w:rsidRPr="00251B08" w:rsidRDefault="00CE271F" w:rsidP="00CE271F">
      <w:r w:rsidRPr="00251B08">
        <w:t xml:space="preserve">Tais premissas evidenciam, de forma inequívoca, que o julgado aplicou a tese da culpa </w:t>
      </w:r>
      <w:r w:rsidRPr="009841AF">
        <w:rPr>
          <w:i/>
          <w:iCs/>
        </w:rPr>
        <w:t>in vigilando</w:t>
      </w:r>
      <w:r w:rsidRPr="00251B08">
        <w:t xml:space="preserve"> para fundamentar a condenação subsidiária, reproduzindo o exato conteúdo da Súmula 331, V, do TST, vez que tais fundamentos não estão abarcados pelo tema 1118. </w:t>
      </w:r>
    </w:p>
    <w:p w14:paraId="43E2A08D" w14:textId="1C7FDEEB" w:rsidR="00CE271F" w:rsidRPr="00251B08" w:rsidRDefault="00CE271F" w:rsidP="00CE271F">
      <w:r w:rsidRPr="00251B08">
        <w:t>Assim, resta configurada a contrariedade</w:t>
      </w:r>
      <w:r>
        <w:t xml:space="preserve"> </w:t>
      </w:r>
      <w:r w:rsidR="00711261">
        <w:t xml:space="preserve">e divergência </w:t>
      </w:r>
      <w:r>
        <w:t xml:space="preserve">explicita na forma da </w:t>
      </w:r>
      <w:r w:rsidRPr="00930BD6">
        <w:t>OJ nº 118 da SBDI-1/TST</w:t>
      </w:r>
      <w:r w:rsidRPr="00251B08">
        <w:t xml:space="preserve"> à referida súmula, uma vez que o Tribunal Regional presumiu a culpa do tomador de serviços a partir do mero inadimplemento da prestadora, invertendo </w:t>
      </w:r>
      <w:r w:rsidRPr="00251B08">
        <w:lastRenderedPageBreak/>
        <w:t>indevidamente o ônus probatório e afastando a necessidade de demonstração efetiva de omissão culposa, requisito indispensável para a responsabilidade subsidiária, conforme consolidado na jurisprudência desta Corte Superior e no julgamento do Tema 246</w:t>
      </w:r>
      <w:r>
        <w:t>,</w:t>
      </w:r>
      <w:r w:rsidRPr="00251B08">
        <w:t xml:space="preserve"> já supracitado. </w:t>
      </w:r>
    </w:p>
    <w:p w14:paraId="683607BA" w14:textId="3CF90265" w:rsidR="00CE271F" w:rsidRPr="00251B08" w:rsidRDefault="00CE271F" w:rsidP="00CE271F">
      <w:pPr>
        <w:rPr>
          <w:b/>
          <w:bCs/>
          <w:color w:val="1F3864" w:themeColor="accent1" w:themeShade="80"/>
        </w:rPr>
      </w:pPr>
      <w:r>
        <w:t>Em que pese tratar-se de uma questão de aplicação do direito, c</w:t>
      </w:r>
      <w:r w:rsidRPr="00251B08">
        <w:t>umpre destacar que o Banco do Brasil comprovou, de forma documental, o acompanhamento contratual e a adoção de medidas administrativas para coibir irregularidades da prestadora de serviços</w:t>
      </w:r>
      <w:r w:rsidR="00DB3CC1">
        <w:t>, ainda que impedida de rescindir o contrato por ordem judicial</w:t>
      </w:r>
      <w:r w:rsidRPr="00251B08">
        <w:t xml:space="preserve">, o que afasta qualquer presunção de culpa. A exigência de eficácia absoluta da fiscalização, como impôs o acórdão, </w:t>
      </w:r>
      <w:r w:rsidRPr="00251B08">
        <w:rPr>
          <w:b/>
          <w:bCs/>
          <w:color w:val="1F3864" w:themeColor="accent1" w:themeShade="80"/>
        </w:rPr>
        <w:t>configura interpretação ampliativa e incompatível com o teor restritivo da Súmula 331, V, que condiciona a responsabilidade à comprovação objetiva de falha grave e culposa na fiscalização.</w:t>
      </w:r>
    </w:p>
    <w:p w14:paraId="3A3E57B4" w14:textId="06A6EB97" w:rsidR="00CE271F" w:rsidRPr="00CE271F" w:rsidRDefault="00CE271F" w:rsidP="00CE271F">
      <w:r w:rsidRPr="00251B08">
        <w:t xml:space="preserve">Diante disso, impõe-se o reconhecimento da </w:t>
      </w:r>
      <w:r w:rsidR="00AF5AFF">
        <w:t>posição divergente</w:t>
      </w:r>
      <w:r w:rsidRPr="00251B08">
        <w:t xml:space="preserve"> </w:t>
      </w:r>
      <w:r w:rsidR="00AF5AFF">
        <w:t>da</w:t>
      </w:r>
      <w:r w:rsidRPr="00251B08">
        <w:t xml:space="preserve"> Súmula 331, V, do TST, porquanto o acórdão regional aplicou seu conteúdo de forma desvirtuada, sem a comprovação da efetiva culpa da tomadora, ensejando o processamento do presente recurso de revista.</w:t>
      </w:r>
    </w:p>
    <w:p w14:paraId="69C62904" w14:textId="37DDB45C" w:rsidR="00103EA8" w:rsidRDefault="007A5EAA" w:rsidP="007A5EAA">
      <w:r w:rsidRPr="007A5EAA">
        <w:t>Vejamos trechos destacados do acórdão recorrido, cuja fundamentação enseja a necessária reforma pela instância superior</w:t>
      </w:r>
      <w:r>
        <w:t xml:space="preserve">. </w:t>
      </w:r>
      <w:r w:rsidR="00103EA8" w:rsidRPr="00103EA8">
        <w:t xml:space="preserve">Cabe destacar, que a matéria se encontra devidamente </w:t>
      </w:r>
      <w:proofErr w:type="spellStart"/>
      <w:r w:rsidR="00103EA8" w:rsidRPr="00103EA8">
        <w:t>prequestionada</w:t>
      </w:r>
      <w:proofErr w:type="spellEnd"/>
      <w:r w:rsidR="00103EA8" w:rsidRPr="00103EA8">
        <w:t xml:space="preserve">, haja vista que foram enfrentadas e ventiladas. </w:t>
      </w:r>
    </w:p>
    <w:p w14:paraId="1F43505F" w14:textId="7A12D446" w:rsidR="00A925C1" w:rsidRPr="00DB3CC1" w:rsidRDefault="00A925C1" w:rsidP="006E7808">
      <w:pPr>
        <w:rPr>
          <w:b/>
          <w:bCs/>
          <w:color w:val="1F3864" w:themeColor="accent1" w:themeShade="80"/>
        </w:rPr>
      </w:pPr>
      <w:r w:rsidRPr="00DB3CC1">
        <w:rPr>
          <w:b/>
          <w:bCs/>
          <w:color w:val="1F3864" w:themeColor="accent1" w:themeShade="80"/>
        </w:rPr>
        <w:t>RESPONSBILIDADE SUBSIDIÁRIA – FISCALIZAÇÃO:</w:t>
      </w:r>
    </w:p>
    <w:p w14:paraId="15C6BA77" w14:textId="77777777" w:rsidR="009F16F6" w:rsidRDefault="009F16F6" w:rsidP="009F16F6">
      <w:pPr>
        <w:pStyle w:val="SemEspaamento"/>
      </w:pPr>
      <w:r w:rsidRPr="003763B8">
        <w:t>Nos termos do Tema 1.118 do STF, para que haja responsabilização subsidiária da Administração Pública, é imprescindível a comprovação: ou da efetiva existência de comportamento negligente, ou do nexo de causalidade entre o dano invocado pela parte autora e a conduta comissiva ou omissiva do poder público.</w:t>
      </w:r>
    </w:p>
    <w:p w14:paraId="0516963B" w14:textId="3EBD76EB" w:rsidR="009F16F6" w:rsidRDefault="009F16F6" w:rsidP="00C5405A">
      <w:pPr>
        <w:pStyle w:val="SemEspaamento"/>
      </w:pPr>
      <w:r>
        <w:t>(...)</w:t>
      </w:r>
    </w:p>
    <w:p w14:paraId="3ADBBA1A" w14:textId="2D325B97" w:rsidR="009F16F6" w:rsidRDefault="009F16F6" w:rsidP="009F16F6">
      <w:pPr>
        <w:pStyle w:val="SemEspaamento"/>
      </w:pPr>
      <w:r w:rsidRPr="00D656E0">
        <w:t>Quanto ao nexo de causalidade entre o dano invocado pela parte autora e a conduta do poder público, tal elemento está presente no caso em análise. Vê-se, do exame do conjunto dos elementos probatórios dos autos, que o recorrente procedeu à juntada de documentação que aponta para uma fiscalização falha, incapaz de evitar que a reclamada principal descumprisse as obrigações trabalhistas dos empregados que, de modo terceirizado, atuavam junto ao Banco do Brasil S /A, inclusive os direitos do reclamante. Assim, o não pagamento das verbas é uma consequência direta da inércia do recorrente.</w:t>
      </w:r>
    </w:p>
    <w:p w14:paraId="1A7F3E2E" w14:textId="77777777" w:rsidR="009F16F6" w:rsidRPr="0073256A" w:rsidRDefault="009F16F6" w:rsidP="009F16F6">
      <w:pPr>
        <w:pStyle w:val="SemEspaamento"/>
        <w:rPr>
          <w:color w:val="auto"/>
        </w:rPr>
      </w:pPr>
      <w:r w:rsidRPr="0073256A">
        <w:rPr>
          <w:color w:val="auto"/>
        </w:rPr>
        <w:lastRenderedPageBreak/>
        <w:t>Cabe ressaltar que, apesar de o Banco do Brasil S/A ter juntado provas de medidas adotadas para corrigir as irregularidades da empresa de segurança, como notificações de irregularidades (</w:t>
      </w:r>
      <w:proofErr w:type="spellStart"/>
      <w:r w:rsidRPr="0073256A">
        <w:rPr>
          <w:color w:val="auto"/>
        </w:rPr>
        <w:t>IDs</w:t>
      </w:r>
      <w:proofErr w:type="spellEnd"/>
      <w:r w:rsidRPr="0073256A">
        <w:rPr>
          <w:color w:val="auto"/>
        </w:rPr>
        <w:t xml:space="preserve"> 03fd934 e 8d92529) e processo administrativo disciplinar (</w:t>
      </w:r>
      <w:proofErr w:type="spellStart"/>
      <w:r w:rsidRPr="0073256A">
        <w:rPr>
          <w:color w:val="auto"/>
        </w:rPr>
        <w:t>IDs</w:t>
      </w:r>
      <w:proofErr w:type="spellEnd"/>
      <w:r w:rsidRPr="0073256A">
        <w:rPr>
          <w:color w:val="auto"/>
        </w:rPr>
        <w:t xml:space="preserve"> 68819a4, e7c7207, cd1a40c, 40651b3 e d7a7f5e), nenhuma delas foi eficaz.</w:t>
      </w:r>
    </w:p>
    <w:p w14:paraId="1E81302C" w14:textId="77777777" w:rsidR="009F16F6" w:rsidRDefault="009F16F6" w:rsidP="009F16F6">
      <w:pPr>
        <w:pStyle w:val="SemEspaamento"/>
      </w:pPr>
      <w:r w:rsidRPr="00AD77F6">
        <w:t xml:space="preserve">A análise dos documentos revela que o banco não aplicou nenhuma sanção suficientemente efetiva e capaz de inibir a reclamada principal de cometer desvios trabalhistas. </w:t>
      </w:r>
      <w:r w:rsidRPr="00AF5AFF">
        <w:rPr>
          <w:b/>
          <w:bCs/>
          <w:color w:val="1F3864" w:themeColor="accent1" w:themeShade="80"/>
        </w:rPr>
        <w:t>Ele tinha ciência das irregularidades, mas não agiu de forma enérgica para que elas cessassem.</w:t>
      </w:r>
    </w:p>
    <w:p w14:paraId="5D21CA12" w14:textId="77777777" w:rsidR="009F16F6" w:rsidRDefault="009F16F6" w:rsidP="009F16F6">
      <w:pPr>
        <w:pStyle w:val="SemEspaamento"/>
      </w:pPr>
      <w:r w:rsidRPr="00AD77F6">
        <w:t>A rescisão contratual, medida extrema que estava à mão do recorrente, teria proporcionado ao recorrente até a possibilidade de executar a garantia dada pela reclamada principal, assim como a retenção dos créditos decorrentes do contrato, até o limite dos prejuízos causados ao banco (cláusula quarta, parágrafo oitavo, p. 5 - ID 614d6c8).</w:t>
      </w:r>
    </w:p>
    <w:p w14:paraId="7451F651" w14:textId="77777777" w:rsidR="009F16F6" w:rsidRPr="00DB3CC1" w:rsidRDefault="009F16F6" w:rsidP="009F16F6">
      <w:pPr>
        <w:pStyle w:val="SemEspaamento"/>
        <w:rPr>
          <w:b/>
          <w:bCs/>
          <w:color w:val="1F3864" w:themeColor="accent1" w:themeShade="80"/>
        </w:rPr>
      </w:pPr>
      <w:r w:rsidRPr="00DB3CC1">
        <w:rPr>
          <w:b/>
          <w:bCs/>
          <w:color w:val="1F3864" w:themeColor="accent1" w:themeShade="80"/>
        </w:rPr>
        <w:t>Assim, a responsabilização subsidiária do banco se dá pelo nexo de causalidade entre o não pagamento das verbas pela empresa de segurança ao empregado e a ausência de medidas efetivas pelo banco para garantir tal pagamento.</w:t>
      </w:r>
    </w:p>
    <w:p w14:paraId="4B7DE440" w14:textId="77777777" w:rsidR="009F16F6" w:rsidRDefault="009F16F6" w:rsidP="00045463"/>
    <w:p w14:paraId="12C81C4A" w14:textId="29915139" w:rsidR="00D25D5E" w:rsidRPr="00D25D5E" w:rsidRDefault="00D25D5E" w:rsidP="002928E7">
      <w:r w:rsidRPr="00D25D5E">
        <w:t xml:space="preserve">Conforme decidido pelo </w:t>
      </w:r>
      <w:r w:rsidRPr="00434550">
        <w:rPr>
          <w:b/>
          <w:bCs/>
          <w:color w:val="1F3864" w:themeColor="accent1" w:themeShade="80"/>
        </w:rPr>
        <w:t>Supremo Tribunal Federal na RE 760.931 (Tema 246)</w:t>
      </w:r>
      <w:r w:rsidRPr="00434550">
        <w:rPr>
          <w:color w:val="1F3864" w:themeColor="accent1" w:themeShade="80"/>
        </w:rPr>
        <w:t xml:space="preserve">, o </w:t>
      </w:r>
      <w:r w:rsidRPr="00434550">
        <w:rPr>
          <w:b/>
          <w:bCs/>
          <w:color w:val="1F3864" w:themeColor="accent1" w:themeShade="80"/>
        </w:rPr>
        <w:t>inadimplemento das obrigações trabalhistas pela empresa contratada não transfere automaticamente à Administração Pública</w:t>
      </w:r>
      <w:r w:rsidRPr="00D25D5E">
        <w:t xml:space="preserve"> a responsabilidade pelos encargos.</w:t>
      </w:r>
    </w:p>
    <w:p w14:paraId="5C200699" w14:textId="4EA981ED" w:rsidR="00D25D5E" w:rsidRPr="00D25D5E" w:rsidRDefault="00D25D5E" w:rsidP="006E7808">
      <w:r w:rsidRPr="00D25D5E">
        <w:t xml:space="preserve">No caso concreto, </w:t>
      </w:r>
      <w:r w:rsidRPr="003F69B1">
        <w:rPr>
          <w:b/>
          <w:bCs/>
          <w:color w:val="1F3864" w:themeColor="accent1" w:themeShade="80"/>
        </w:rPr>
        <w:t>o próprio acórdão reconheceu a inexistência de notificação formal prévia (Tema 1.118, item 2)</w:t>
      </w:r>
      <w:r w:rsidRPr="003F69B1">
        <w:rPr>
          <w:color w:val="1F3864" w:themeColor="accent1" w:themeShade="80"/>
        </w:rPr>
        <w:t xml:space="preserve"> </w:t>
      </w:r>
      <w:r w:rsidRPr="00D25D5E">
        <w:t xml:space="preserve">e a realização de diversas medidas de fiscalização. Ainda assim, manteve a condenação sob o argumento de “ineficácia” das medidas, o que representa indevida </w:t>
      </w:r>
      <w:r w:rsidRPr="00434550">
        <w:rPr>
          <w:b/>
          <w:bCs/>
          <w:color w:val="1F3864" w:themeColor="accent1" w:themeShade="80"/>
        </w:rPr>
        <w:t>presunção de culpa</w:t>
      </w:r>
      <w:r w:rsidRPr="00D25D5E">
        <w:t>, vedada pelo STF.</w:t>
      </w:r>
      <w:r w:rsidR="00D906AB">
        <w:t xml:space="preserve"> A fundamentação toma como base a possibilidade de </w:t>
      </w:r>
      <w:r w:rsidR="00D906AB" w:rsidRPr="00D906AB">
        <w:t>rescisão contratual</w:t>
      </w:r>
      <w:r w:rsidR="00D906AB">
        <w:t xml:space="preserve">, ocorre que o Banco foi impedido judicialmente de </w:t>
      </w:r>
      <w:r w:rsidR="005B181A">
        <w:t>fazê-lo</w:t>
      </w:r>
      <w:r w:rsidR="00D906AB">
        <w:t xml:space="preserve"> em função da recuperação judicial da primeira reclamada</w:t>
      </w:r>
      <w:r w:rsidR="005B181A">
        <w:t xml:space="preserve">. </w:t>
      </w:r>
    </w:p>
    <w:p w14:paraId="53AA0D79" w14:textId="77777777" w:rsidR="00D25D5E" w:rsidRPr="00D25D5E" w:rsidRDefault="00D25D5E" w:rsidP="006E7808">
      <w:r w:rsidRPr="00D25D5E">
        <w:t>Trata-se de flagrante violação à tese vinculante:</w:t>
      </w:r>
    </w:p>
    <w:p w14:paraId="1F449926" w14:textId="236B45A3" w:rsidR="00D25D5E" w:rsidRDefault="00D25D5E" w:rsidP="00D25D5E">
      <w:pPr>
        <w:pStyle w:val="SemEspaamento"/>
      </w:pPr>
      <w:r w:rsidRPr="00D25D5E">
        <w:t>Não há responsabilidade subsidiária da Administração Pública (...) se amparada exclusivamente na premissa da inversão do ônus da prova</w:t>
      </w:r>
      <w:r w:rsidR="00434550">
        <w:t xml:space="preserve"> </w:t>
      </w:r>
      <w:r w:rsidRPr="00D25D5E">
        <w:t>(Tema 1.118/STF).</w:t>
      </w:r>
    </w:p>
    <w:p w14:paraId="1F40287C" w14:textId="16A2F918" w:rsidR="005F2C65" w:rsidRDefault="005F2C65" w:rsidP="006E7808">
      <w:pPr>
        <w:rPr>
          <w:b/>
          <w:bCs/>
          <w:color w:val="1F3864" w:themeColor="accent1" w:themeShade="80"/>
        </w:rPr>
      </w:pPr>
      <w:r w:rsidRPr="005F2C65">
        <w:t>Não obstante, o Regional considerou configurado o nexo de causalidade pelo simples fato de haver créditos trabalhistas inadimplidos pela prestadora</w:t>
      </w:r>
      <w:r w:rsidR="00116C9B">
        <w:t xml:space="preserve">, decorrentes </w:t>
      </w:r>
      <w:r w:rsidR="00892D14">
        <w:t>de “ausência de medidas enérgicas”</w:t>
      </w:r>
      <w:r w:rsidRPr="005F2C65">
        <w:t xml:space="preserve">. </w:t>
      </w:r>
      <w:r w:rsidRPr="00892D14">
        <w:rPr>
          <w:b/>
          <w:bCs/>
          <w:color w:val="1F3864" w:themeColor="accent1" w:themeShade="80"/>
        </w:rPr>
        <w:t xml:space="preserve">Tal raciocínio, entretanto, desvirtua completamente a </w:t>
      </w:r>
      <w:proofErr w:type="spellStart"/>
      <w:r w:rsidRPr="00892D14">
        <w:rPr>
          <w:b/>
          <w:bCs/>
          <w:i/>
          <w:iCs/>
          <w:color w:val="1F3864" w:themeColor="accent1" w:themeShade="80"/>
        </w:rPr>
        <w:t>ratio</w:t>
      </w:r>
      <w:proofErr w:type="spellEnd"/>
      <w:r w:rsidRPr="00892D14">
        <w:rPr>
          <w:b/>
          <w:bCs/>
          <w:i/>
          <w:iCs/>
          <w:color w:val="1F3864" w:themeColor="accent1" w:themeShade="80"/>
        </w:rPr>
        <w:t xml:space="preserve"> </w:t>
      </w:r>
      <w:proofErr w:type="spellStart"/>
      <w:r w:rsidRPr="00892D14">
        <w:rPr>
          <w:b/>
          <w:bCs/>
          <w:i/>
          <w:iCs/>
          <w:color w:val="1F3864" w:themeColor="accent1" w:themeShade="80"/>
        </w:rPr>
        <w:t>decidendi</w:t>
      </w:r>
      <w:proofErr w:type="spellEnd"/>
      <w:r w:rsidRPr="00892D14">
        <w:rPr>
          <w:b/>
          <w:bCs/>
          <w:color w:val="1F3864" w:themeColor="accent1" w:themeShade="80"/>
        </w:rPr>
        <w:t xml:space="preserve"> do Tema 1.118 do STF, pois presume a culpa a partir do resultado econômico do </w:t>
      </w:r>
      <w:r w:rsidRPr="00892D14">
        <w:rPr>
          <w:b/>
          <w:bCs/>
          <w:color w:val="1F3864" w:themeColor="accent1" w:themeShade="80"/>
        </w:rPr>
        <w:lastRenderedPageBreak/>
        <w:t>inadimplemento, e não da comprovação de inércia administrativa diante de comunicação formal e idônea</w:t>
      </w:r>
      <w:r w:rsidR="00E14BDA">
        <w:rPr>
          <w:b/>
          <w:bCs/>
          <w:color w:val="1F3864" w:themeColor="accent1" w:themeShade="80"/>
        </w:rPr>
        <w:t>.</w:t>
      </w:r>
    </w:p>
    <w:p w14:paraId="3A68A8F5" w14:textId="156B70A4" w:rsidR="00E14BDA" w:rsidRPr="00A379B7" w:rsidRDefault="00D44B38" w:rsidP="00A379B7">
      <w:pPr>
        <w:rPr>
          <w:color w:val="1F3864" w:themeColor="accent1" w:themeShade="80"/>
        </w:rPr>
      </w:pPr>
      <w:r w:rsidRPr="00A379B7">
        <w:rPr>
          <w:color w:val="auto"/>
        </w:rPr>
        <w:t>Diverge, portanto,</w:t>
      </w:r>
      <w:r w:rsidR="00506A84" w:rsidRPr="00A379B7">
        <w:rPr>
          <w:color w:val="auto"/>
        </w:rPr>
        <w:t xml:space="preserve"> por estabelecer uma condição abstrata </w:t>
      </w:r>
      <w:r w:rsidR="002760A1" w:rsidRPr="00A379B7">
        <w:rPr>
          <w:color w:val="auto"/>
        </w:rPr>
        <w:t xml:space="preserve">e ampliativa </w:t>
      </w:r>
      <w:r w:rsidR="00F264AE" w:rsidRPr="00A379B7">
        <w:rPr>
          <w:color w:val="auto"/>
        </w:rPr>
        <w:t>para responsabilidade</w:t>
      </w:r>
      <w:r w:rsidRPr="00A379B7">
        <w:rPr>
          <w:color w:val="auto"/>
        </w:rPr>
        <w:t xml:space="preserve"> subsidiaria</w:t>
      </w:r>
      <w:r w:rsidR="00A379B7" w:rsidRPr="00A379B7">
        <w:rPr>
          <w:color w:val="1F3864" w:themeColor="accent1" w:themeShade="80"/>
        </w:rPr>
        <w:t xml:space="preserve">. </w:t>
      </w:r>
      <w:r w:rsidR="00E14BDA" w:rsidRPr="006105E3">
        <w:t>Destaca</w:t>
      </w:r>
      <w:r w:rsidR="00A379B7">
        <w:t xml:space="preserve">-se </w:t>
      </w:r>
      <w:r w:rsidR="00E14BDA" w:rsidRPr="006105E3">
        <w:t xml:space="preserve">julgado de outra regional em que foi reconhecida a fiscalização </w:t>
      </w:r>
      <w:r w:rsidR="00303974" w:rsidRPr="006105E3">
        <w:t>com a juntada de documentação</w:t>
      </w:r>
      <w:r w:rsidR="00AA6FA5" w:rsidRPr="006105E3">
        <w:t xml:space="preserve"> probatória semelhante </w:t>
      </w:r>
      <w:r w:rsidR="006105E3" w:rsidRPr="006105E3">
        <w:t>à</w:t>
      </w:r>
      <w:r w:rsidR="00AA6FA5" w:rsidRPr="006105E3">
        <w:t xml:space="preserve"> da presente recorrente: </w:t>
      </w:r>
    </w:p>
    <w:p w14:paraId="0FFF0AA1" w14:textId="2D9102F5" w:rsidR="00AA6FA5" w:rsidRPr="00AA6FA5" w:rsidRDefault="00AA6FA5" w:rsidP="00AA6FA5">
      <w:pPr>
        <w:pStyle w:val="SemEspaamento"/>
        <w:keepNext/>
        <w:framePr w:dropCap="drop" w:lines="2" w:wrap="around" w:vAnchor="text" w:hAnchor="text"/>
        <w:spacing w:after="0" w:line="593" w:lineRule="exact"/>
        <w:textAlignment w:val="baseline"/>
        <w:rPr>
          <w:position w:val="-5"/>
          <w:sz w:val="65"/>
        </w:rPr>
      </w:pPr>
      <w:r w:rsidRPr="00AA6FA5">
        <w:rPr>
          <w:position w:val="-5"/>
          <w:sz w:val="65"/>
        </w:rPr>
        <w:t>T</w:t>
      </w:r>
      <w:r w:rsidR="006105E3">
        <w:rPr>
          <w:position w:val="-5"/>
          <w:sz w:val="65"/>
        </w:rPr>
        <w:t>RT4</w:t>
      </w:r>
    </w:p>
    <w:p w14:paraId="42ABFC28" w14:textId="709F51E6" w:rsidR="00AA6FA5" w:rsidRPr="005F2C65" w:rsidRDefault="00A379B7" w:rsidP="00AA6FA5">
      <w:pPr>
        <w:pStyle w:val="SemEspaamento"/>
      </w:pPr>
      <w:r>
        <w:rPr>
          <w:noProof/>
        </w:rPr>
        <mc:AlternateContent>
          <mc:Choice Requires="wps">
            <w:drawing>
              <wp:anchor distT="0" distB="0" distL="114300" distR="114300" simplePos="0" relativeHeight="251669504" behindDoc="1" locked="0" layoutInCell="1" allowOverlap="1" wp14:anchorId="0C355A2A" wp14:editId="3E12B214">
                <wp:simplePos x="0" y="0"/>
                <wp:positionH relativeFrom="column">
                  <wp:posOffset>1762125</wp:posOffset>
                </wp:positionH>
                <wp:positionV relativeFrom="paragraph">
                  <wp:posOffset>0</wp:posOffset>
                </wp:positionV>
                <wp:extent cx="5615940" cy="586740"/>
                <wp:effectExtent l="0" t="0" r="22860" b="22860"/>
                <wp:wrapNone/>
                <wp:docPr id="142009179" name="Retângulo: Cantos Arredondados 9"/>
                <wp:cNvGraphicFramePr/>
                <a:graphic xmlns:a="http://schemas.openxmlformats.org/drawingml/2006/main">
                  <a:graphicData uri="http://schemas.microsoft.com/office/word/2010/wordprocessingShape">
                    <wps:wsp>
                      <wps:cNvSpPr/>
                      <wps:spPr>
                        <a:xfrm>
                          <a:off x="0" y="0"/>
                          <a:ext cx="5615940" cy="586740"/>
                        </a:xfrm>
                        <a:prstGeom prst="roundRect">
                          <a:avLst/>
                        </a:prstGeom>
                        <a:solidFill>
                          <a:schemeClr val="accent1">
                            <a:lumMod val="40000"/>
                            <a:lumOff val="60000"/>
                          </a:schemeClr>
                        </a:solidFill>
                        <a:ln>
                          <a:solidFill>
                            <a:schemeClr val="accent1">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E17FCFA" id="Retângulo: Cantos Arredondados 9" o:spid="_x0000_s1026" style="position:absolute;margin-left:138.75pt;margin-top:0;width:442.2pt;height:46.2pt;z-index:-2516469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" fillcolor="#b4c6e7 [1300]" strokecolor="#d9e2f3 [660]" strokeweight="1pt">
                <v:stroke joinstyle="miter"/>
              </v:roundrect>
            </w:pict>
          </mc:Fallback>
        </mc:AlternateContent>
      </w:r>
      <w:r w:rsidR="00AA6FA5">
        <w:t xml:space="preserve">EMENTA DIREITO DO TRABALHO. RECURSO ORDINÁRIO. RESPONSABILIDADE SUBSIDIÁRIA. ENTE PÚBLICO. AUSÊNCIA DE CULPA. ÔNUS DA PROVA. RECURSO DA SEGUNDA RECLAMADA PROVIDO. RECURSO DO RECLAMANTE DESPROVIDO. I. CASO EM EXAME 1. Recurso ordinário da reclamada contra sentença que a condenou à responsabilidade subsidiária pelas verbas trabalhistas devidas pelo empregador, em razão da ausência de comprovação de fiscalização do contrato. II. QUESTÃO EM DISCUSSÃO 2. A questão em discussão consiste em definir se a reclamada, ente público, possui responsabilidade subsidiária pelas verbas trabalhistas devidas pelo empregador, considerando a ausência de previsão legal ou contratual para tal responsabilidade, a realização de licitação e fiscalização, e a comprovação de conduta negligente ou nexo de causalidade entre o dano e a conduta do poder público. </w:t>
      </w:r>
      <w:r w:rsidR="00AA6FA5" w:rsidRPr="006105E3">
        <w:rPr>
          <w:b/>
          <w:bCs/>
          <w:color w:val="1F3864" w:themeColor="accent1" w:themeShade="80"/>
        </w:rPr>
        <w:t>III. RAZÕES DE DECIDIR 3. A reclamada comprovou a realização de fiscalização do contrato, com notificações e cobranças à empresa contratada sobre o pagamento de salários, vale alimentação, vale transporte e recolhimento de tributos.</w:t>
      </w:r>
      <w:r w:rsidR="00AA6FA5" w:rsidRPr="006105E3">
        <w:rPr>
          <w:color w:val="1F3864" w:themeColor="accent1" w:themeShade="80"/>
        </w:rPr>
        <w:t xml:space="preserve"> </w:t>
      </w:r>
      <w:r w:rsidR="00AA6FA5">
        <w:t xml:space="preserve">4. O entendimento do Supremo Tribunal Federal, Tema 1.118, exige a comprovação de conduta negligente ou nexo de causalidade para a responsabilidade subsidiária do ente público, o que não foi demonstrado pelo reclamante. 5. A documentação apresentada pela reclamada comprova a diligência na fiscalização do contrato, atendendo às obrigações de meio e afastando a culpa in vigilando. 6. A Lei nº 14 .133/21 revogou a Lei nº 8.666/93, e a responsabilidade subsidiária do ente público depende da comprovação de conduta negligente ou nexo de causalidade, conforme o Tema 1.118 do STF. IV. DISPOSITIVO E TESE 7. Recurso da segunda reclamada provido. Tese de julgamento: A responsabilidade subsidiária do ente público, em caso de inadimplência de empresa contratada, exige comprovação de conduta negligente ou nexo de causalidade entre o dano e a conduta comissiva ou omissiva do poder público, conforme Tema 1.118 do STF. Dispositivos relevantes citados: CF/1988, art. 5º, II; CF/1988, art. </w:t>
      </w:r>
      <w:proofErr w:type="gramStart"/>
      <w:r w:rsidR="00AA6FA5">
        <w:t>37,caput</w:t>
      </w:r>
      <w:proofErr w:type="gramEnd"/>
      <w:r w:rsidR="00AA6FA5">
        <w:t xml:space="preserve"> ; CC, art. 265; Lei nº 8 .666/1993, </w:t>
      </w:r>
      <w:proofErr w:type="spellStart"/>
      <w:r w:rsidR="00AA6FA5">
        <w:t>arts</w:t>
      </w:r>
      <w:proofErr w:type="spellEnd"/>
      <w:r w:rsidR="00AA6FA5">
        <w:t xml:space="preserve">. 70 e 71, § 1º; CF/1988, art. 97; CLT, art. 818, II; Lei nº 14 .133/2021. Jurisprudência relevante citada: TST, Súmula nº 331; STF, Súmula Vinculante nº 10; STF, ADC nº 16; </w:t>
      </w:r>
      <w:r w:rsidR="00AA6FA5">
        <w:lastRenderedPageBreak/>
        <w:t>STF, Tema 1.118. (TRT-4 - ROT: 00201849520245040002, Data de Julgamento: 12/09/2025, 2ª Turma)</w:t>
      </w:r>
    </w:p>
    <w:p w14:paraId="7B5DE8CC" w14:textId="77777777" w:rsidR="005F2C65" w:rsidRPr="005F2C65" w:rsidRDefault="005F2C65" w:rsidP="006E7808">
      <w:r w:rsidRPr="005F2C65">
        <w:t>O mero descumprimento contratual pela empresa prestadora não é apto, por si só, a gerar a responsabilização da Administração, sob pena de se restabelecer a responsabilidade automática que o Supremo Tribunal Federal expressamente rechaçou.</w:t>
      </w:r>
    </w:p>
    <w:p w14:paraId="165C09B2" w14:textId="70A87CB7" w:rsidR="00881857" w:rsidRDefault="005F2C65" w:rsidP="00251B08">
      <w:r w:rsidRPr="005F2C65">
        <w:t>A interpretação adotada pelo acórdão regional, portanto,</w:t>
      </w:r>
      <w:r w:rsidR="00B90BF2">
        <w:t xml:space="preserve"> </w:t>
      </w:r>
      <w:r w:rsidR="00B90BF2" w:rsidRPr="00434550">
        <w:rPr>
          <w:b/>
          <w:bCs/>
          <w:color w:val="1F3864" w:themeColor="accent1" w:themeShade="80"/>
        </w:rPr>
        <w:t>materialmente</w:t>
      </w:r>
      <w:r w:rsidRPr="00434550">
        <w:rPr>
          <w:b/>
          <w:bCs/>
          <w:color w:val="1F3864" w:themeColor="accent1" w:themeShade="80"/>
        </w:rPr>
        <w:t xml:space="preserve"> inverte o ônus da prova e afasta a exigência de demonstração de culpa concreta</w:t>
      </w:r>
      <w:r w:rsidRPr="005F2C65">
        <w:t>, violando o art. 818 da CLT e o entendimento vinculante do STF.</w:t>
      </w:r>
      <w:r w:rsidR="00AD00EE">
        <w:t xml:space="preserve"> </w:t>
      </w:r>
    </w:p>
    <w:p w14:paraId="1C1E9951" w14:textId="4993BA2D" w:rsidR="005B4DB4" w:rsidRPr="005B4DB4" w:rsidRDefault="005B4DB4" w:rsidP="006E7808">
      <w:r w:rsidRPr="005B4DB4">
        <w:t>O Supremo Tribunal Federal, no julgamento do RE 1.298.647 (Tema 1.118), estabeleceu como requisito essencial à responsabilização subsidiária a demonstração de notificação formal idônea comunicando irregularidades à Administração.</w:t>
      </w:r>
    </w:p>
    <w:p w14:paraId="5CEC732B" w14:textId="77777777" w:rsidR="005B4DB4" w:rsidRPr="005B4DB4" w:rsidRDefault="005B4DB4" w:rsidP="006E7808">
      <w:r w:rsidRPr="005B4DB4">
        <w:t>O acórdão regional reconheceu expressamente que a mera propositura da ação trabalhista não constitui notificação formal idônea, mas, contraditoriamente, imputou culpa ao Banco do Brasil com base em presunção de inércia.</w:t>
      </w:r>
    </w:p>
    <w:p w14:paraId="10F0367F" w14:textId="2635E040" w:rsidR="005B4DB4" w:rsidRPr="009B47AB" w:rsidRDefault="005B4DB4" w:rsidP="006E7808">
      <w:pPr>
        <w:rPr>
          <w:b/>
          <w:bCs/>
          <w:color w:val="1F3864" w:themeColor="accent1" w:themeShade="80"/>
        </w:rPr>
      </w:pPr>
      <w:r w:rsidRPr="009B47AB">
        <w:rPr>
          <w:b/>
          <w:bCs/>
          <w:color w:val="1F3864" w:themeColor="accent1" w:themeShade="80"/>
        </w:rPr>
        <w:t>Assim, o julgado incorre em violação direta à tese fixada pelo STF, que veda a responsabilização fundada em suposição de culpa ou em fiscalização “não eficaz”.</w:t>
      </w:r>
    </w:p>
    <w:p w14:paraId="70685A2C" w14:textId="4F5D0BD5" w:rsidR="00CC4FBE" w:rsidRPr="00CC4FBE" w:rsidRDefault="00CC4FBE" w:rsidP="00CC4FBE">
      <w:r w:rsidRPr="00CC4FBE">
        <w:t xml:space="preserve">No caso em apreço, </w:t>
      </w:r>
      <w:r w:rsidRPr="00CC4FBE">
        <w:rPr>
          <w:b/>
          <w:bCs/>
          <w:color w:val="1F3864" w:themeColor="accent1" w:themeShade="80"/>
        </w:rPr>
        <w:t>não se evidenciou qualquer conduta omissiva imputável ao Banco Recorrente</w:t>
      </w:r>
      <w:r w:rsidRPr="00CC4FBE">
        <w:t xml:space="preserve">, tampouco irregularidade na fiscalização da execução contratual. Ao revés, os elementos constantes dos autos demonstram a </w:t>
      </w:r>
      <w:r w:rsidRPr="00CC4FBE">
        <w:rPr>
          <w:b/>
          <w:bCs/>
          <w:color w:val="1F3864" w:themeColor="accent1" w:themeShade="80"/>
        </w:rPr>
        <w:t>diligência da instituição na supervisão das obrigações trabalhistas da empresa prestadora de serviços</w:t>
      </w:r>
      <w:r w:rsidRPr="00CC4FBE">
        <w:t xml:space="preserve">, afastando a configuração de culpa </w:t>
      </w:r>
      <w:r w:rsidRPr="00CC4FBE">
        <w:rPr>
          <w:i/>
          <w:iCs/>
        </w:rPr>
        <w:t>in vigilando</w:t>
      </w:r>
      <w:r w:rsidRPr="00CC4FBE">
        <w:t>.</w:t>
      </w:r>
    </w:p>
    <w:p w14:paraId="6E583488" w14:textId="77777777" w:rsidR="00CC4FBE" w:rsidRPr="00CC4FBE" w:rsidRDefault="00CC4FBE" w:rsidP="00CC4FBE">
      <w:r w:rsidRPr="00CC4FBE">
        <w:t xml:space="preserve">Desse modo, </w:t>
      </w:r>
      <w:r w:rsidRPr="00CC4FBE">
        <w:rPr>
          <w:b/>
          <w:bCs/>
          <w:color w:val="1F3864" w:themeColor="accent1" w:themeShade="80"/>
        </w:rPr>
        <w:t>a decisão regional merece reparo</w:t>
      </w:r>
      <w:r w:rsidRPr="00CC4FBE">
        <w:rPr>
          <w:color w:val="1F3864" w:themeColor="accent1" w:themeShade="80"/>
        </w:rPr>
        <w:t xml:space="preserve">, </w:t>
      </w:r>
      <w:r w:rsidRPr="00CC4FBE">
        <w:rPr>
          <w:color w:val="auto"/>
        </w:rPr>
        <w:t>porquanto</w:t>
      </w:r>
      <w:r w:rsidRPr="00CC4FBE">
        <w:rPr>
          <w:color w:val="1F3864" w:themeColor="accent1" w:themeShade="80"/>
        </w:rPr>
        <w:t xml:space="preserve"> </w:t>
      </w:r>
      <w:r w:rsidRPr="00CC4FBE">
        <w:rPr>
          <w:b/>
          <w:bCs/>
          <w:color w:val="1F3864" w:themeColor="accent1" w:themeShade="80"/>
        </w:rPr>
        <w:t>inexistente prova de falha fiscalizatória</w:t>
      </w:r>
      <w:r w:rsidRPr="00CC4FBE">
        <w:t xml:space="preserve"> que possa justificar a responsabilização subsidiária imposta.</w:t>
      </w:r>
    </w:p>
    <w:p w14:paraId="2539A8E4" w14:textId="7D696CC8" w:rsidR="00251B08" w:rsidRDefault="00CC4FBE" w:rsidP="00CE271F">
      <w:r w:rsidRPr="00CC4FBE">
        <w:t xml:space="preserve">Com efeito, </w:t>
      </w:r>
      <w:r w:rsidRPr="00CC4FBE">
        <w:rPr>
          <w:b/>
          <w:bCs/>
          <w:color w:val="1F3864" w:themeColor="accent1" w:themeShade="80"/>
        </w:rPr>
        <w:t>competia ao reclamante o ônus de comprovar a culpa do Banco Recorrente</w:t>
      </w:r>
      <w:r w:rsidRPr="00CC4FBE">
        <w:rPr>
          <w:color w:val="1F3864" w:themeColor="accent1" w:themeShade="80"/>
        </w:rPr>
        <w:t xml:space="preserve">, </w:t>
      </w:r>
      <w:r w:rsidRPr="00CC4FBE">
        <w:t>por se tratar de fato constitutivo de seu direito à responsabilização, ainda que de forma subsidiária.</w:t>
      </w:r>
    </w:p>
    <w:p w14:paraId="164B2E8D" w14:textId="77777777" w:rsidR="002719FA" w:rsidRDefault="00FF75D5" w:rsidP="006C2B32">
      <w:r>
        <w:t>Neste sentido, vejamos as seguintes ementas de julgados que corroboram</w:t>
      </w:r>
      <w:r w:rsidR="00C11AC3">
        <w:t xml:space="preserve"> em demonstrar </w:t>
      </w:r>
      <w:r w:rsidR="00A00D20">
        <w:t xml:space="preserve">o fundamento em </w:t>
      </w:r>
      <w:r w:rsidR="00237901">
        <w:t xml:space="preserve">sentido </w:t>
      </w:r>
      <w:r w:rsidR="006D5003" w:rsidRPr="006D5003">
        <w:t>oposto</w:t>
      </w:r>
      <w:r w:rsidR="002719FA">
        <w:t>.</w:t>
      </w:r>
      <w:r w:rsidR="006D5003" w:rsidRPr="006D5003">
        <w:t xml:space="preserve"> </w:t>
      </w:r>
    </w:p>
    <w:p w14:paraId="0FB31A0C" w14:textId="16137F58" w:rsidR="006C2B32" w:rsidRDefault="002719FA" w:rsidP="006C2B32">
      <w:r>
        <w:t>O</w:t>
      </w:r>
      <w:r w:rsidR="006D5003" w:rsidRPr="006D5003">
        <w:t xml:space="preserve"> </w:t>
      </w:r>
      <w:r w:rsidR="006D5003" w:rsidRPr="00A00D20">
        <w:t xml:space="preserve">TST </w:t>
      </w:r>
      <w:r w:rsidR="00A00D20" w:rsidRPr="00A00D20">
        <w:t>(RR: 01001371320245010481, 8ª Turma, Data de Publicação: 03/10/2025)</w:t>
      </w:r>
      <w:r w:rsidR="004C0D88">
        <w:t xml:space="preserve"> decidiu que </w:t>
      </w:r>
      <w:r w:rsidR="00014F57">
        <w:t xml:space="preserve">a </w:t>
      </w:r>
      <w:r w:rsidR="004C0D88">
        <w:t>“</w:t>
      </w:r>
      <w:r w:rsidR="00014F57" w:rsidRPr="00014F57">
        <w:t xml:space="preserve">mera ausência de prova quanto à fiscalização eficaz não induz responsabilidade da Administração Pública, sendo imprescindível a comprovação, pela parte autora, da conduta </w:t>
      </w:r>
      <w:r w:rsidR="00014F57" w:rsidRPr="00014F57">
        <w:lastRenderedPageBreak/>
        <w:t>negligente ou do nexo de causalidade, conforme Tema 1.118 do STF</w:t>
      </w:r>
      <w:r w:rsidR="00014F57">
        <w:t>”</w:t>
      </w:r>
      <w:r>
        <w:t xml:space="preserve">. </w:t>
      </w:r>
      <w:r w:rsidRPr="002719FA">
        <w:t>Assim, há divergência direta entre o entendimento regional e o paradigma da Corte Superior.</w:t>
      </w:r>
    </w:p>
    <w:p w14:paraId="73D03440" w14:textId="45A9C8D4" w:rsidR="00424004" w:rsidRPr="00424004" w:rsidRDefault="00424004" w:rsidP="00424004">
      <w:pPr>
        <w:pStyle w:val="SemEspaamento"/>
        <w:keepNext/>
        <w:framePr w:dropCap="drop" w:lines="2" w:wrap="around" w:vAnchor="text" w:hAnchor="text"/>
        <w:spacing w:after="0" w:line="593" w:lineRule="exact"/>
        <w:textAlignment w:val="baseline"/>
        <w:rPr>
          <w:position w:val="-4"/>
          <w:sz w:val="62"/>
        </w:rPr>
      </w:pPr>
      <w:r w:rsidRPr="00424004">
        <w:rPr>
          <w:position w:val="-4"/>
          <w:sz w:val="62"/>
        </w:rPr>
        <w:t>TST</w:t>
      </w:r>
    </w:p>
    <w:p w14:paraId="543F2692" w14:textId="0A60B942" w:rsidR="00C11AC3" w:rsidRDefault="00A00D20" w:rsidP="00322433">
      <w:pPr>
        <w:pStyle w:val="SemEspaamento"/>
      </w:pPr>
      <w:r>
        <w:rPr>
          <w:noProof/>
        </w:rPr>
        <mc:AlternateContent>
          <mc:Choice Requires="wps">
            <w:drawing>
              <wp:anchor distT="0" distB="0" distL="114300" distR="114300" simplePos="0" relativeHeight="251658239" behindDoc="1" locked="0" layoutInCell="1" allowOverlap="1" wp14:anchorId="128B0838" wp14:editId="2A05BC96">
                <wp:simplePos x="0" y="0"/>
                <wp:positionH relativeFrom="column">
                  <wp:posOffset>1783553</wp:posOffset>
                </wp:positionH>
                <wp:positionV relativeFrom="paragraph">
                  <wp:posOffset>20394</wp:posOffset>
                </wp:positionV>
                <wp:extent cx="5616054" cy="586854"/>
                <wp:effectExtent l="0" t="0" r="22860" b="22860"/>
                <wp:wrapNone/>
                <wp:docPr id="1444082122" name="Retângulo: Cantos Arredondados 9"/>
                <wp:cNvGraphicFramePr/>
                <a:graphic xmlns:a="http://schemas.openxmlformats.org/drawingml/2006/main">
                  <a:graphicData uri="http://schemas.microsoft.com/office/word/2010/wordprocessingShape">
                    <wps:wsp>
                      <wps:cNvSpPr/>
                      <wps:spPr>
                        <a:xfrm>
                          <a:off x="0" y="0"/>
                          <a:ext cx="5616054" cy="586854"/>
                        </a:xfrm>
                        <a:prstGeom prst="roundRect">
                          <a:avLst/>
                        </a:prstGeom>
                        <a:solidFill>
                          <a:schemeClr val="accent1">
                            <a:lumMod val="40000"/>
                            <a:lumOff val="60000"/>
                          </a:schemeClr>
                        </a:solidFill>
                        <a:ln>
                          <a:solidFill>
                            <a:schemeClr val="accent1">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6DBEA2" id="Retângulo: Cantos Arredondados 9" o:spid="_x0000_s1026" style="position:absolute;margin-left:140.45pt;margin-top:1.6pt;width:442.2pt;height:46.2pt;z-index:-251658241;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" fillcolor="#b4c6e7 [1300]" strokecolor="#d9e2f3 [660]" strokeweight="1pt">
                <v:stroke joinstyle="miter"/>
              </v:roundrect>
            </w:pict>
          </mc:Fallback>
        </mc:AlternateContent>
      </w:r>
      <w:r w:rsidR="00424004">
        <w:t xml:space="preserve"> </w:t>
      </w:r>
      <w:r w:rsidR="006C2B32">
        <w:t>I - AGRAVO DE INSTRUMENTO EM RECURSO DE REVISTA DO SEGUNDO RECLAMADO (PETROBRAS) – REGÊNCIA PELA LEI Nº 13.467/17. RITO SUMARÍSSIMO – RESPONSABILIDADE SUBSIDIÁRIA. TERCEIRIZAÇÃO DE SERVIÇOS. ENTE PÚBLICO. AUSÊNCIA DE PROVA DE FISCALIZAÇÃO. ÔNUS DA PROVA. TEMAS 246 E 1 .118 DO EMENTÁRIO DE REPERCUSSÃO GERAL - TRANSCENDÊNCIA POLÍTICA RECONHECIDA. Constatada possível contrariedade ao item V da Súmula 331 do TST, merece provimento o agravo de instrumento para determinar o processamento do recurso de revista. Agravo de instrumento a que se dá provimento. II – RECURSO DE REVISTA DO SEGUNDO RECLAMADO (PETROBRAS) - REGÊNCIA PELA LEI Nº 13 .467/2017. RITO SUMARÍSSIMO - RESPONSABILIDADE SUBSIDIÁRIA. TERCEIRIZAÇÃO DE SERVIÇOS. ENTE PÚBLICO. AUSÊNCIA DE PROVA DE FISCALIZAÇÃO. ÔNUS DA PROVA. TEMAS 246 E 1.118 DO EMENTÁRIO DE REPERCUSSÃO GERAL - TRANSCENDÊNCIA POLÍTICA RECONHECIDA. O Tribunal Regional manteve a responsabilidade subsidiária do ente público. O Supremo Tribunal Federal, ao examinar a ADC-16/DF e o RE-760931/DF (</w:t>
      </w:r>
      <w:proofErr w:type="spellStart"/>
      <w:r w:rsidR="006C2B32">
        <w:t>leading</w:t>
      </w:r>
      <w:proofErr w:type="spellEnd"/>
      <w:r w:rsidR="006C2B32">
        <w:t xml:space="preserve"> case do Tema nº 246 do Ementário de Repercussão Geral), firmou tese no sentido de que a inadimplência da empresa contratada não transfere ao ente público tomador de serviços, de forma automática, a responsabilidade pelo pagamento dos encargos trabalhistas e fiscais, sendo necessário verificar, caso a caso, a eventual ocorrência de culpa da Administração Pública. No recente julgamento do Tema nº 1.118, o STF fixou a seguinte tese jurídica, “Não há responsabilidade subsidiária da Administração Pública por encargos trabalhistas gerados pelo inadimplemento de empresa prestadora de serviços contratada, se amparada exclusivamente na premissa da inversão do ônus da prova, remanescendo imprescindível a comprovação, pela parte autora, da efetiva existência de comportamento negligente ou nexo de causalidade entre o dano por ela invocado e a conduta comissiva ou omissiva do poder público .” (publicado no DJE em 24/2/25). </w:t>
      </w:r>
      <w:r w:rsidR="006C2B32" w:rsidRPr="00CB574F">
        <w:rPr>
          <w:b/>
          <w:bCs/>
          <w:color w:val="1F3864" w:themeColor="accent1" w:themeShade="80"/>
        </w:rPr>
        <w:t xml:space="preserve">Assim, constata-se que a mera ausência de prova quanto à fiscalização eficaz do contrato não induz à responsabilização do Poder Público, cabendo à parte autora a comprovação da conduta culposa do ente público tomador. </w:t>
      </w:r>
      <w:r w:rsidR="006C2B32" w:rsidRPr="00675ABF">
        <w:rPr>
          <w:color w:val="222A35" w:themeColor="text2" w:themeShade="80"/>
        </w:rPr>
        <w:t>Caso contrário, estar-se-ia diante da possibilidade de novas condenações da Administração Pública por simples inadimplemento, com base em culpa presumida, em desrespeito às teses fixadas pelo STF.</w:t>
      </w:r>
      <w:r w:rsidR="006C2B32" w:rsidRPr="00675ABF">
        <w:rPr>
          <w:b/>
          <w:bCs/>
          <w:color w:val="222A35" w:themeColor="text2" w:themeShade="80"/>
        </w:rPr>
        <w:t xml:space="preserve"> </w:t>
      </w:r>
      <w:r w:rsidR="006C2B32">
        <w:t xml:space="preserve">Transcendência política reconhecida. Recurso de revista de que se conhece e a que se dá provimento. (TST - RR: 01001371320245010481, Relator.: Sergio Pinto </w:t>
      </w:r>
      <w:r w:rsidR="006C2B32">
        <w:lastRenderedPageBreak/>
        <w:t>Martins, Data de Julgamento: 23/09/2025, 8ª Turma, Data de Publicação: 03/10/2025)</w:t>
      </w:r>
      <w:r w:rsidR="00C11AC3">
        <w:t>.</w:t>
      </w:r>
    </w:p>
    <w:p w14:paraId="546C03A3" w14:textId="77777777" w:rsidR="006708D0" w:rsidRDefault="006708D0" w:rsidP="006708D0">
      <w:pPr>
        <w:pStyle w:val="SemEspaamento"/>
        <w:ind w:left="0"/>
      </w:pPr>
    </w:p>
    <w:p w14:paraId="78705908" w14:textId="7CB44162" w:rsidR="00424004" w:rsidRPr="00424004" w:rsidRDefault="00424004" w:rsidP="00424004">
      <w:pPr>
        <w:pStyle w:val="SemEspaamento"/>
        <w:keepNext/>
        <w:framePr w:dropCap="drop" w:lines="2" w:wrap="around" w:vAnchor="text" w:hAnchor="text"/>
        <w:spacing w:after="0" w:line="593" w:lineRule="exact"/>
        <w:textAlignment w:val="baseline"/>
        <w:rPr>
          <w:position w:val="-4"/>
          <w:sz w:val="62"/>
        </w:rPr>
      </w:pPr>
      <w:r w:rsidRPr="00424004">
        <w:rPr>
          <w:position w:val="-4"/>
          <w:sz w:val="62"/>
        </w:rPr>
        <w:t>TST</w:t>
      </w:r>
    </w:p>
    <w:p w14:paraId="1A2DAC0D" w14:textId="533ED520" w:rsidR="00CC4FBE" w:rsidRDefault="00C87689" w:rsidP="00322433">
      <w:pPr>
        <w:pStyle w:val="SemEspaamento"/>
      </w:pPr>
      <w:r>
        <w:rPr>
          <w:noProof/>
        </w:rPr>
        <mc:AlternateContent>
          <mc:Choice Requires="wps">
            <w:drawing>
              <wp:anchor distT="0" distB="0" distL="114300" distR="114300" simplePos="0" relativeHeight="251661312" behindDoc="1" locked="0" layoutInCell="1" allowOverlap="1" wp14:anchorId="7989F19E" wp14:editId="10D17B4F">
                <wp:simplePos x="0" y="0"/>
                <wp:positionH relativeFrom="column">
                  <wp:posOffset>1746032</wp:posOffset>
                </wp:positionH>
                <wp:positionV relativeFrom="paragraph">
                  <wp:posOffset>37834</wp:posOffset>
                </wp:positionV>
                <wp:extent cx="5616054" cy="586854"/>
                <wp:effectExtent l="0" t="0" r="22860" b="22860"/>
                <wp:wrapNone/>
                <wp:docPr id="323049879" name="Retângulo: Cantos Arredondados 9"/>
                <wp:cNvGraphicFramePr/>
                <a:graphic xmlns:a="http://schemas.openxmlformats.org/drawingml/2006/main">
                  <a:graphicData uri="http://schemas.microsoft.com/office/word/2010/wordprocessingShape">
                    <wps:wsp>
                      <wps:cNvSpPr/>
                      <wps:spPr>
                        <a:xfrm>
                          <a:off x="0" y="0"/>
                          <a:ext cx="5616054" cy="586854"/>
                        </a:xfrm>
                        <a:prstGeom prst="roundRect">
                          <a:avLst/>
                        </a:prstGeom>
                        <a:solidFill>
                          <a:schemeClr val="accent1">
                            <a:lumMod val="40000"/>
                            <a:lumOff val="60000"/>
                          </a:schemeClr>
                        </a:solidFill>
                        <a:ln>
                          <a:solidFill>
                            <a:schemeClr val="accent1">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C4A6767" id="Retângulo: Cantos Arredondados 9" o:spid="_x0000_s1026" style="position:absolute;margin-left:137.5pt;margin-top:3pt;width:442.2pt;height:46.2pt;z-index:-251655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" fillcolor="#b4c6e7 [1300]" strokecolor="#d9e2f3 [660]" strokeweight="1pt">
                <v:stroke joinstyle="miter"/>
              </v:roundrect>
            </w:pict>
          </mc:Fallback>
        </mc:AlternateContent>
      </w:r>
      <w:r w:rsidR="00424004">
        <w:t xml:space="preserve"> </w:t>
      </w:r>
      <w:r w:rsidR="00B60FBE">
        <w:t xml:space="preserve">AGRAVO DE INSTRUMENTO EM RECURSO DE REVISTA INTERPOSTO PELO SEGUNDO RECLAMADO (BANCO DO ESTADO DO RIO GRANDE DO SUL S/A). PROCEDIMENTO SUMARÍSSIMO. RESPONSABILIZAÇÃO SUBSIDIÁRIA. ENTE INTEGRANTE DA ADMINISTRAÇÃO PÚBLICA. FISCALIZAÇÃO DO CONTRATO POR PARTE DO TOMADOR DOS SERVIÇOS. ÔNUS DA PROVA. TEMA 1.118 DA TABELA DE REPERCUSSÃO GERAL. TRANSCENDÊNCIA POLÍTICA RECONHECIDA. O agravo de instrumento merece provimento, com consequente processamento do recurso de revista, considerando que o segundo reclamado logrou demonstrar a configuração de possível contrariedade à Súmula nº 331, V, do TST. Agravo de instrumento conhecido e provido. B) RECURSO DE REVISTA INTERPOSTO PELO SEGUNDO RECLAMADO (BANCO DO ESTADO DO RIO GRANDE DO SUL S/A). PROCEDIMENTO SUMARÍSSIMO. RESPONSABILIZAÇÃO SUBSIDIÁRIA. ENTE INTEGRANTE DA ADMINISTRAÇÃO PÚBLICA. FISCALIZAÇÃO DO CONTRATO POR PARTE DO TOMADOR DOS SERVIÇOS. ÔNUS DA PROVA. TEMA 1.118 DA TABELA DE REPERCUSSÃO GERAL. TRANSCENDÊNCIA POLÍTICA RECONHECIDA. 1. O Supremo Tribunal Federal, no julgamento da ADC nº 16, declarou a constitucionalidade do art. 71, § 1º, da Lei nº 8.666/93 e, posteriormente, reconheceu a existência de repercussão geral (Tema 246) da questão constitucional suscitada no Recurso Extraordinário nº 760 .931, referente à responsabilidade dos entes integrantes da Administração Pública em caso de terceirização, fixando a tese de que “ o inadimplemento dos encargos trabalhistas dos empregados do contratado não transfere automaticamente ao Poder Público contratante a responsabilidade pelo seu pagamento, seja em caráter solidário ou subsidiário, nos termos do art. 71, § 1º, da Lei nº 8.666/93 ”. </w:t>
      </w:r>
      <w:proofErr w:type="gramStart"/>
      <w:r w:rsidR="00B60FBE">
        <w:t>2 .</w:t>
      </w:r>
      <w:proofErr w:type="gramEnd"/>
      <w:r w:rsidR="00B60FBE">
        <w:t xml:space="preserve"> Já nos autos do RE-1.298.647, a Suprema Corte reconheceu a existência de repercussão geral (Tema 1.118) da questão constitucional relativa ao ônus da prova acerca de eventual conduta culposa na fiscalização das obrigações trabalhistas de prestadora de serviços, para fins de responsabilização subsidiária da Administração Pública, fixando a tese jurídica de que </w:t>
      </w:r>
      <w:proofErr w:type="gramStart"/>
      <w:r w:rsidR="00B60FBE">
        <w:t>“ 1</w:t>
      </w:r>
      <w:proofErr w:type="gramEnd"/>
      <w:r w:rsidR="00B60FBE">
        <w:t xml:space="preserve"> . Não há responsabilidade subsidiária da Administração Pública por encargos trabalhistas gerados pelo inadimplemento de empresa prestadora de serviços contratada, se amparada exclusivamente na premissa da inversão do ônus da prova, remanescendo imprescindível a comprovação, pela parte autora, da efetiva existência de comportamento negligente ou nexo de causalidade entre o dano por ela invocado e a conduta comissiva ou </w:t>
      </w:r>
      <w:r w:rsidR="00B60FBE">
        <w:lastRenderedPageBreak/>
        <w:t xml:space="preserve">omissiva do poder público. (...) ”. </w:t>
      </w:r>
      <w:r w:rsidR="00B60FBE" w:rsidRPr="00F770A0">
        <w:rPr>
          <w:b/>
          <w:bCs/>
          <w:color w:val="1F3864" w:themeColor="accent1" w:themeShade="80"/>
        </w:rPr>
        <w:t xml:space="preserve">3. In </w:t>
      </w:r>
      <w:proofErr w:type="spellStart"/>
      <w:proofErr w:type="gramStart"/>
      <w:r w:rsidR="00B60FBE" w:rsidRPr="00F770A0">
        <w:rPr>
          <w:b/>
          <w:bCs/>
          <w:color w:val="1F3864" w:themeColor="accent1" w:themeShade="80"/>
        </w:rPr>
        <w:t>casu</w:t>
      </w:r>
      <w:proofErr w:type="spellEnd"/>
      <w:r w:rsidR="00B60FBE" w:rsidRPr="00F770A0">
        <w:rPr>
          <w:b/>
          <w:bCs/>
          <w:color w:val="1F3864" w:themeColor="accent1" w:themeShade="80"/>
        </w:rPr>
        <w:t xml:space="preserve"> ,</w:t>
      </w:r>
      <w:proofErr w:type="gramEnd"/>
      <w:r w:rsidR="00B60FBE" w:rsidRPr="00F770A0">
        <w:rPr>
          <w:b/>
          <w:bCs/>
          <w:color w:val="1F3864" w:themeColor="accent1" w:themeShade="80"/>
        </w:rPr>
        <w:t xml:space="preserve"> o Regional manteve a responsabilidade subsidiária atribuída ao ente público pelos encargos trabalhistas com amparo na premissa da inversão do ônus da prova, razão pela qual a revista logra êxito para extirpar a responsabilização subsidiária atribuída ao recorrente. </w:t>
      </w:r>
      <w:r w:rsidR="00B60FBE">
        <w:t>Recurso de revista conhecido e provido. (TST - RR: 00201778520215040333, Relator.: Dora Maria Da Costa, Data de Julgamento: 23/09/2025, 8ª Turma, Data de Publicação: 02/10/2025)</w:t>
      </w:r>
    </w:p>
    <w:p w14:paraId="29E63D9D" w14:textId="77777777" w:rsidR="005F4265" w:rsidRDefault="005F4265" w:rsidP="005F4265">
      <w:pPr>
        <w:pStyle w:val="SemEspaamento"/>
        <w:ind w:left="0"/>
      </w:pPr>
    </w:p>
    <w:p w14:paraId="5197D1E4" w14:textId="77777777" w:rsidR="003F2513" w:rsidRPr="003F2513" w:rsidRDefault="003F2513" w:rsidP="003D4F6A">
      <w:r w:rsidRPr="003F2513">
        <w:t xml:space="preserve">No caso dos autos, o acórdão regional reconhece que o Banco apresentou documentos comprobatórios de fiscalização, mas manteve a condenação sob o argumento de que tais medidas foram "ineficazes". Tal conclusão presume culpa a partir do resultado econômico do inadimplemento, e não da conduta do ente público, violando a </w:t>
      </w:r>
      <w:proofErr w:type="spellStart"/>
      <w:r w:rsidRPr="003F2513">
        <w:rPr>
          <w:i/>
          <w:iCs/>
        </w:rPr>
        <w:t>ratio</w:t>
      </w:r>
      <w:proofErr w:type="spellEnd"/>
      <w:r w:rsidRPr="003F2513">
        <w:rPr>
          <w:i/>
          <w:iCs/>
        </w:rPr>
        <w:t xml:space="preserve"> </w:t>
      </w:r>
      <w:proofErr w:type="spellStart"/>
      <w:r w:rsidRPr="003F2513">
        <w:rPr>
          <w:i/>
          <w:iCs/>
        </w:rPr>
        <w:t>decidendi</w:t>
      </w:r>
      <w:proofErr w:type="spellEnd"/>
      <w:r w:rsidRPr="003F2513">
        <w:t xml:space="preserve"> do Tema 1118. </w:t>
      </w:r>
    </w:p>
    <w:p w14:paraId="40CD6F8C" w14:textId="06F4F7D8" w:rsidR="005F4265" w:rsidRDefault="005F4265" w:rsidP="003D4F6A">
      <w:r w:rsidRPr="005F4265">
        <w:t>O TST (</w:t>
      </w:r>
      <w:r w:rsidR="003D4F6A">
        <w:t>RR: 10000333120245020331</w:t>
      </w:r>
      <w:r w:rsidRPr="005F4265">
        <w:t xml:space="preserve">, 8ª Turma, Data de Publicação: </w:t>
      </w:r>
      <w:r w:rsidR="003D4F6A">
        <w:t>02/10/2025</w:t>
      </w:r>
      <w:r w:rsidRPr="005F4265">
        <w:t>) decidiu</w:t>
      </w:r>
      <w:r w:rsidR="003D4F6A">
        <w:t xml:space="preserve"> também</w:t>
      </w:r>
      <w:r w:rsidRPr="005F4265">
        <w:t xml:space="preserve"> que</w:t>
      </w:r>
      <w:r w:rsidR="00C730D7">
        <w:t xml:space="preserve"> por essa fundamentação </w:t>
      </w:r>
      <w:r w:rsidRPr="005F4265">
        <w:t>“</w:t>
      </w:r>
      <w:r w:rsidR="003D4F6A" w:rsidRPr="00C11AC3">
        <w:rPr>
          <w:b/>
          <w:bCs/>
          <w:color w:val="1F3864" w:themeColor="accent1" w:themeShade="80"/>
        </w:rPr>
        <w:t>estar-se-ia diante da possibilidade de novas condenações da Administração Pública por simples inadimplemento, em desrespeito às teses fixadas pelo STF</w:t>
      </w:r>
      <w:r w:rsidRPr="005F4265">
        <w:t>”. Assim, há divergência direta entre o entendimento regional e o paradigma da Corte Superior.</w:t>
      </w:r>
    </w:p>
    <w:p w14:paraId="379D543C" w14:textId="77777777" w:rsidR="003D4F6A" w:rsidRDefault="003D4F6A" w:rsidP="005F4265">
      <w:pPr>
        <w:pStyle w:val="SemEspaamento"/>
        <w:ind w:left="0"/>
      </w:pPr>
    </w:p>
    <w:p w14:paraId="3F16E9BA" w14:textId="77777777" w:rsidR="00BA6B6C" w:rsidRPr="00424004" w:rsidRDefault="00BA6B6C" w:rsidP="00BA6B6C">
      <w:pPr>
        <w:pStyle w:val="SemEspaamento"/>
        <w:keepNext/>
        <w:framePr w:dropCap="drop" w:lines="2" w:wrap="around" w:vAnchor="text" w:hAnchor="text"/>
        <w:spacing w:after="0" w:line="593" w:lineRule="exact"/>
        <w:textAlignment w:val="baseline"/>
        <w:rPr>
          <w:position w:val="-4"/>
          <w:sz w:val="62"/>
        </w:rPr>
      </w:pPr>
      <w:r w:rsidRPr="00424004">
        <w:rPr>
          <w:position w:val="-4"/>
          <w:sz w:val="62"/>
        </w:rPr>
        <w:t>TST</w:t>
      </w:r>
    </w:p>
    <w:p w14:paraId="03D5C4EB" w14:textId="27355F22" w:rsidR="00BA6B6C" w:rsidRDefault="00463139" w:rsidP="005F4265">
      <w:pPr>
        <w:pStyle w:val="SemEspaamento"/>
      </w:pPr>
      <w:r>
        <w:rPr>
          <w:noProof/>
        </w:rPr>
        <mc:AlternateContent>
          <mc:Choice Requires="wps">
            <w:drawing>
              <wp:anchor distT="0" distB="0" distL="114300" distR="114300" simplePos="0" relativeHeight="251665408" behindDoc="1" locked="0" layoutInCell="1" allowOverlap="1" wp14:anchorId="7D7DCCC2" wp14:editId="124E1FE6">
                <wp:simplePos x="0" y="0"/>
                <wp:positionH relativeFrom="column">
                  <wp:posOffset>1786976</wp:posOffset>
                </wp:positionH>
                <wp:positionV relativeFrom="paragraph">
                  <wp:posOffset>19240</wp:posOffset>
                </wp:positionV>
                <wp:extent cx="5616054" cy="586854"/>
                <wp:effectExtent l="0" t="0" r="22860" b="22860"/>
                <wp:wrapNone/>
                <wp:docPr id="1211009103" name="Retângulo: Cantos Arredondados 9"/>
                <wp:cNvGraphicFramePr/>
                <a:graphic xmlns:a="http://schemas.openxmlformats.org/drawingml/2006/main">
                  <a:graphicData uri="http://schemas.microsoft.com/office/word/2010/wordprocessingShape">
                    <wps:wsp>
                      <wps:cNvSpPr/>
                      <wps:spPr>
                        <a:xfrm>
                          <a:off x="0" y="0"/>
                          <a:ext cx="5616054" cy="586854"/>
                        </a:xfrm>
                        <a:prstGeom prst="roundRect">
                          <a:avLst/>
                        </a:prstGeom>
                        <a:solidFill>
                          <a:schemeClr val="accent1">
                            <a:lumMod val="40000"/>
                            <a:lumOff val="60000"/>
                          </a:schemeClr>
                        </a:solidFill>
                        <a:ln>
                          <a:solidFill>
                            <a:schemeClr val="accent1">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AD8E88" id="Retângulo: Cantos Arredondados 9" o:spid="_x0000_s1026" style="position:absolute;margin-left:140.7pt;margin-top:1.5pt;width:442.2pt;height:46.2pt;z-index:-2516510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" fillcolor="#b4c6e7 [1300]" strokecolor="#d9e2f3 [660]" strokeweight="1pt">
                <v:stroke joinstyle="miter"/>
              </v:roundrect>
            </w:pict>
          </mc:Fallback>
        </mc:AlternateContent>
      </w:r>
      <w:r w:rsidR="00BA6B6C">
        <w:t xml:space="preserve"> I – AGRAVO DE INSTRUMENTO EM RECURSO DE REVISTA DA SEGUNDA RECLAMADA (FUNDAÇÃO PARA A CONSERVAÇÃO E A PRODUÇÃO FLORESTAL DO ESTADO DE SÃO PAULO) – REGÊNCIA PELA LEI Nº 13.467/2017. RITO SUMARÍSSIMO - RESPONSABILIDADE SUBSIDIÁRIA. TERCEIRIZAÇÃO DE SERVIÇOS. ENTE PÚBLICO. AUSÊNCIA DE PROVA DE FISCALIZAÇÃO. ÔNUS DA PROVA. DECISÃO CONTRÁRIA À JURISPRUDÊNCIA DO STF EM SEDE DE REPERCUSSÃO GERAL. TEMAS 246 E 1.118. TRANSCENDÊNCIA POLÍTICA RECONHECIDA. Constatada contrariedade ao item V da Súmula 331 do TST, merece provimento o agravo de instrumento para determinar o processamento do recurso de revista. Agravo de instrumento a que se dá provimento. II - RECURSO DE REVISTA DA SEGUNDA RECLAMADA (FUNDAÇÃO PARA A CONSERVAÇÃO E A PRODUÇÃO FLORESTAL DO ESTADO DE SÃO PAULO) – REGÊNCIA PELA LEI Nº 13.467/2017. RITO SUMARÍSSIMO - RESPONSABILIDADE SUBSIDIÁRIA. TERCEIRIZAÇÃO DE SERVIÇOS. ENTE PÚBLICO. AUSÊNCIA DE PROVA DE FISCALIZAÇÃO. ÔNUS DA PROVA. DECISÃO CONTRÁRIA À JURISPRUDÊNCIA DO STF EM SEDE DE REPERCUSSÃO GERAL. </w:t>
      </w:r>
      <w:r w:rsidR="00BA6B6C">
        <w:lastRenderedPageBreak/>
        <w:t>TEMAS 246 E 1.118. TRANSCENDÊNCIA POLÍTICA RECONHECIDA. O Tribunal Regional manteve a responsabilidade subsidiária do ente público, com fundamento nas regras de distribuição do encargo probatório. O Supremo Tribunal Federal, ao examinar a ADC-16/DF e o RE-760931/DF (</w:t>
      </w:r>
      <w:proofErr w:type="spellStart"/>
      <w:r w:rsidR="00BA6B6C">
        <w:t>leading</w:t>
      </w:r>
      <w:proofErr w:type="spellEnd"/>
      <w:r w:rsidR="00BA6B6C">
        <w:t xml:space="preserve"> case do Tema nº 246 do Ementário de Repercussão Geral), firmou tese no sentido de que a inadimplência da empresa contratada não transfere ao ente público tomador de serviços, de forma automática, a responsabilidade pelo pagamento dos encargos trabalhistas e fiscais, sendo necessário verificar, caso a caso, a eventual ocorrência de culpa da Administração Pública. No recente julgamento do Tema nº 1.118, o STF fixou a seguinte tese jurídica, “Não há responsabilidade subsidiária da Administração Pública por encargos trabalhistas gerados pelo inadimplemento de empresa prestadora de serviços contratada, se amparada exclusivamente na premissa da inversão do ônus da prova, </w:t>
      </w:r>
      <w:r w:rsidR="00BA6B6C" w:rsidRPr="00231BE6">
        <w:rPr>
          <w:b/>
          <w:bCs/>
          <w:color w:val="1F3864" w:themeColor="accent1" w:themeShade="80"/>
        </w:rPr>
        <w:t>remanescendo imprescindível a comprovação, pela parte autora</w:t>
      </w:r>
      <w:r w:rsidR="00BA6B6C">
        <w:t xml:space="preserve">, da efetiva existência de comportamento negligente ou nexo de causalidade entre o dano por ela invocado e a conduta comissiva ou omissiva do poder público.” (publicado no DJE em 24/2/25). Assim, constata-se que a mera ausência de prova quanto à fiscalização do contrato não induz à responsabilização do Poder Público, cabendo à parte autora da ação a comprovação da conduta culposa do ente público tomador. </w:t>
      </w:r>
      <w:r w:rsidR="00BA6B6C" w:rsidRPr="00C11AC3">
        <w:rPr>
          <w:b/>
          <w:bCs/>
          <w:color w:val="1F3864" w:themeColor="accent1" w:themeShade="80"/>
        </w:rPr>
        <w:t xml:space="preserve">Caso contrário, estar-se-ia diante da possibilidade de novas condenações da Administração Pública por simples inadimplemento, em desrespeito às teses fixadas pelo STF. </w:t>
      </w:r>
      <w:r w:rsidR="00BA6B6C">
        <w:t>Recurso de revista de que se conhece e a que se dá provimento. (TST - RR: 10000333120245020331, Relator.: Sergio Pinto Martins, Data de Julgamento: 23/09/2025, 8ª Turma, Data de Publicação: 02/10/2025).</w:t>
      </w:r>
    </w:p>
    <w:p w14:paraId="2DD4C219" w14:textId="77777777" w:rsidR="005F4265" w:rsidRDefault="005F4265" w:rsidP="00BA6B6C">
      <w:pPr>
        <w:pStyle w:val="SemEspaamento"/>
      </w:pPr>
    </w:p>
    <w:p w14:paraId="25CA831E" w14:textId="7DCE32E4" w:rsidR="00DA328B" w:rsidRPr="00DA328B" w:rsidRDefault="00DA328B" w:rsidP="00CC4FBE">
      <w:r w:rsidRPr="00DA328B">
        <w:t xml:space="preserve">A decisão recorrida, portanto, destoa da orientação pacificada e vinculante dos tribunais superiores, caracterizando </w:t>
      </w:r>
      <w:r w:rsidR="00BA6B6C">
        <w:t xml:space="preserve">afronta a sumula vinculante e </w:t>
      </w:r>
      <w:r w:rsidRPr="00DA328B">
        <w:t>divergência jurisprudencial apta a ensejar o cabimento da revista (art. 896</w:t>
      </w:r>
      <w:r w:rsidR="003B477D">
        <w:t xml:space="preserve"> </w:t>
      </w:r>
      <w:r w:rsidRPr="00DA328B">
        <w:t>CLT).</w:t>
      </w:r>
    </w:p>
    <w:p w14:paraId="78EE502A" w14:textId="75452824" w:rsidR="009A1320" w:rsidRDefault="00E954C3" w:rsidP="00785480">
      <w:r w:rsidRPr="00E954C3">
        <w:t>No caso dos autos, não se depreende do acórdão regional a comprovação, pela parte autora, da efetiva existência de comportamento negligente ou nexo de causalidade entre o dano e a conduta do poder público.</w:t>
      </w:r>
    </w:p>
    <w:p w14:paraId="60A5D743" w14:textId="609CC2E9" w:rsidR="00CE2E22" w:rsidRDefault="00CE2E22" w:rsidP="00785480">
      <w:r w:rsidRPr="00CE2E22">
        <w:t>Isto posto, não havendo substrato fático ou jurídico, e diante das violações e ofensas apontadas, há de ser reformado o acórdão, para fins de excluir a responsabilidade subsidiária desta Recorrente.</w:t>
      </w:r>
    </w:p>
    <w:p w14:paraId="038E8F76" w14:textId="77777777" w:rsidR="00CE2E22" w:rsidRDefault="00CE2E22" w:rsidP="00533F72">
      <w:pPr>
        <w:pStyle w:val="SemEspaamento"/>
        <w:ind w:left="0"/>
      </w:pPr>
    </w:p>
    <w:p w14:paraId="465055E0" w14:textId="172C4070" w:rsidR="00816922" w:rsidRPr="00816922" w:rsidRDefault="00816922" w:rsidP="00816922">
      <w:pPr>
        <w:pStyle w:val="Ttulo1"/>
      </w:pPr>
      <w:r w:rsidRPr="00816922">
        <w:lastRenderedPageBreak/>
        <w:t>DO PEDIDO</w:t>
      </w:r>
    </w:p>
    <w:p w14:paraId="343FF661" w14:textId="77777777" w:rsidR="00702358" w:rsidRDefault="004E2335" w:rsidP="00785480">
      <w:r w:rsidRPr="004E2335">
        <w:t>Isto posto, ante a violação direta e literal aos dispositivos antes mencionados, e as divergências apontadas, pede conhecimento e provimento do presente Recurso de Revista, para julgar a reclamação inteiramente improcedente em relação à Recorrente, afastando a sua responsabilidade.</w:t>
      </w:r>
    </w:p>
    <w:p w14:paraId="67CE2FD7" w14:textId="4EABEA15" w:rsidR="00EB776F" w:rsidRPr="00ED2705" w:rsidRDefault="005322AA" w:rsidP="00BB3C12">
      <w:pPr>
        <w:spacing w:after="0"/>
        <w:ind w:firstLine="0"/>
        <w:jc w:val="center"/>
      </w:pPr>
      <w:r w:rsidRPr="00ED2705">
        <w:t>Nestes termos, pede deferimento.</w:t>
      </w:r>
    </w:p>
    <w:p w14:paraId="526C9CA7" w14:textId="0DED687D" w:rsidR="005322AA" w:rsidRDefault="005322AA" w:rsidP="00C11AC3">
      <w:pPr>
        <w:spacing w:after="0"/>
        <w:ind w:firstLine="0"/>
        <w:jc w:val="center"/>
      </w:pPr>
      <w:r w:rsidRPr="00ED2705">
        <w:t xml:space="preserve">Natal, </w:t>
      </w:r>
      <w:r w:rsidR="00D377B0" w:rsidRPr="00ED2705">
        <w:t>data do protocolo</w:t>
      </w:r>
      <w:r w:rsidRPr="00ED2705">
        <w:t>.</w:t>
      </w:r>
    </w:p>
    <w:p w14:paraId="43511008" w14:textId="77777777" w:rsidR="00E60126" w:rsidRPr="00ED2705" w:rsidRDefault="00E60126" w:rsidP="00C11AC3">
      <w:pPr>
        <w:spacing w:after="0"/>
        <w:ind w:firstLine="0"/>
        <w:jc w:val="center"/>
      </w:pPr>
    </w:p>
    <w:p w14:paraId="30E8B3DD" w14:textId="54342CB9" w:rsidR="005322AA" w:rsidRPr="00EB776F" w:rsidRDefault="005322AA" w:rsidP="00C11AC3">
      <w:pPr>
        <w:spacing w:after="0"/>
        <w:ind w:firstLine="0"/>
        <w:jc w:val="center"/>
        <w:rPr>
          <w:b/>
          <w:bCs/>
          <w:color w:val="1F3864" w:themeColor="accent1" w:themeShade="80"/>
        </w:rPr>
      </w:pPr>
      <w:r w:rsidRPr="00EB776F">
        <w:rPr>
          <w:b/>
          <w:bCs/>
          <w:color w:val="1F3864" w:themeColor="accent1" w:themeShade="80"/>
        </w:rPr>
        <w:t>MARCOS DÉLLI RIBEIRO RODRIGUES</w:t>
      </w:r>
    </w:p>
    <w:p w14:paraId="1E9DBA81" w14:textId="633E05C3" w:rsidR="003763B8" w:rsidRDefault="00126F5B" w:rsidP="00322433">
      <w:pPr>
        <w:spacing w:after="0"/>
        <w:ind w:firstLine="0"/>
        <w:jc w:val="center"/>
      </w:pPr>
      <w:r w:rsidRPr="00126F5B">
        <w:t xml:space="preserve">OAB/RN 5.553; </w:t>
      </w:r>
    </w:p>
    <w:sectPr w:rsidR="003763B8" w:rsidSect="00E30321">
      <w:headerReference w:type="default" r:id="rId7"/>
      <w:pgSz w:w="11906" w:h="16838"/>
      <w:pgMar w:top="1418" w:right="1134" w:bottom="1247" w:left="1134" w:header="153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A6918" w14:textId="77777777" w:rsidR="000B3AA0" w:rsidRDefault="000B3AA0" w:rsidP="004F7469">
      <w:pPr>
        <w:spacing w:after="0" w:line="240" w:lineRule="auto"/>
      </w:pPr>
      <w:r>
        <w:separator/>
      </w:r>
    </w:p>
  </w:endnote>
  <w:endnote w:type="continuationSeparator" w:id="0">
    <w:p w14:paraId="7FF3EDF6" w14:textId="77777777" w:rsidR="000B3AA0" w:rsidRDefault="000B3AA0" w:rsidP="004F7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8A2B6" w14:textId="77777777" w:rsidR="000B3AA0" w:rsidRDefault="000B3AA0" w:rsidP="004F7469">
      <w:pPr>
        <w:spacing w:after="0" w:line="240" w:lineRule="auto"/>
      </w:pPr>
      <w:r>
        <w:separator/>
      </w:r>
    </w:p>
  </w:footnote>
  <w:footnote w:type="continuationSeparator" w:id="0">
    <w:p w14:paraId="17BCFCB3" w14:textId="77777777" w:rsidR="000B3AA0" w:rsidRDefault="000B3AA0" w:rsidP="004F7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C120" w14:textId="67D466D6" w:rsidR="004F7469" w:rsidRDefault="004F7469" w:rsidP="004F7469">
    <w:pPr>
      <w:pStyle w:val="Cabealho"/>
      <w:tabs>
        <w:tab w:val="clear" w:pos="4252"/>
        <w:tab w:val="clear" w:pos="8504"/>
        <w:tab w:val="left" w:pos="1035"/>
      </w:tabs>
    </w:pPr>
    <w:r>
      <w:rPr>
        <w:noProof/>
      </w:rPr>
      <w:drawing>
        <wp:anchor distT="0" distB="0" distL="114300" distR="114300" simplePos="0" relativeHeight="251658240" behindDoc="1" locked="0" layoutInCell="1" allowOverlap="1" wp14:anchorId="29F1FBB4" wp14:editId="39AAE2DD">
          <wp:simplePos x="0" y="0"/>
          <wp:positionH relativeFrom="page">
            <wp:posOffset>16510</wp:posOffset>
          </wp:positionH>
          <wp:positionV relativeFrom="paragraph">
            <wp:posOffset>-949325</wp:posOffset>
          </wp:positionV>
          <wp:extent cx="7543800" cy="10670540"/>
          <wp:effectExtent l="0" t="0" r="0" b="0"/>
          <wp:wrapNone/>
          <wp:docPr id="14343436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74641" name="Imagem 1506674641"/>
                  <pic:cNvPicPr/>
                </pic:nvPicPr>
                <pic:blipFill>
                  <a:blip r:embed="rId1">
                    <a:extLst>
                      <a:ext uri="{28A0092B-C50C-407E-A947-70E740481C1C}">
                        <a14:useLocalDpi xmlns:a14="http://schemas.microsoft.com/office/drawing/2010/main" val="0"/>
                      </a:ext>
                    </a:extLst>
                  </a:blip>
                  <a:stretch>
                    <a:fillRect/>
                  </a:stretch>
                </pic:blipFill>
                <pic:spPr>
                  <a:xfrm>
                    <a:off x="0" y="0"/>
                    <a:ext cx="7543800" cy="106705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2856"/>
    <w:multiLevelType w:val="hybridMultilevel"/>
    <w:tmpl w:val="7CE6E84A"/>
    <w:lvl w:ilvl="0" w:tplc="1DD60606">
      <w:start w:val="1"/>
      <w:numFmt w:val="upperRoman"/>
      <w:pStyle w:val="Ttulo1"/>
      <w:lvlText w:val="%1."/>
      <w:lvlJc w:val="righ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5411E88"/>
    <w:multiLevelType w:val="hybridMultilevel"/>
    <w:tmpl w:val="B2F62BF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40067931">
    <w:abstractNumId w:val="0"/>
  </w:num>
  <w:num w:numId="2" w16cid:durableId="190598826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69"/>
    <w:rsid w:val="0000009A"/>
    <w:rsid w:val="00002E47"/>
    <w:rsid w:val="000053EE"/>
    <w:rsid w:val="00007E21"/>
    <w:rsid w:val="00010FE1"/>
    <w:rsid w:val="00013FAF"/>
    <w:rsid w:val="00014DB3"/>
    <w:rsid w:val="00014F57"/>
    <w:rsid w:val="000226C3"/>
    <w:rsid w:val="0002557A"/>
    <w:rsid w:val="00025E07"/>
    <w:rsid w:val="00026CB7"/>
    <w:rsid w:val="00033416"/>
    <w:rsid w:val="00037479"/>
    <w:rsid w:val="00045463"/>
    <w:rsid w:val="00050C77"/>
    <w:rsid w:val="0005470C"/>
    <w:rsid w:val="0005662A"/>
    <w:rsid w:val="00063612"/>
    <w:rsid w:val="000657B7"/>
    <w:rsid w:val="00066D84"/>
    <w:rsid w:val="00070B13"/>
    <w:rsid w:val="00070BBF"/>
    <w:rsid w:val="00072A62"/>
    <w:rsid w:val="0007497D"/>
    <w:rsid w:val="00076B51"/>
    <w:rsid w:val="00083115"/>
    <w:rsid w:val="00084871"/>
    <w:rsid w:val="00084F92"/>
    <w:rsid w:val="00092A05"/>
    <w:rsid w:val="0009719F"/>
    <w:rsid w:val="000A16EB"/>
    <w:rsid w:val="000A7666"/>
    <w:rsid w:val="000B0627"/>
    <w:rsid w:val="000B363B"/>
    <w:rsid w:val="000B3AA0"/>
    <w:rsid w:val="000B590C"/>
    <w:rsid w:val="000B59DF"/>
    <w:rsid w:val="000C6013"/>
    <w:rsid w:val="000D153F"/>
    <w:rsid w:val="000D7804"/>
    <w:rsid w:val="000E07DB"/>
    <w:rsid w:val="000E1025"/>
    <w:rsid w:val="000E123D"/>
    <w:rsid w:val="000E4865"/>
    <w:rsid w:val="000F796A"/>
    <w:rsid w:val="00103EA8"/>
    <w:rsid w:val="00110AA3"/>
    <w:rsid w:val="00116C9B"/>
    <w:rsid w:val="00125E08"/>
    <w:rsid w:val="00126F5B"/>
    <w:rsid w:val="00132E62"/>
    <w:rsid w:val="001334BD"/>
    <w:rsid w:val="00134BCF"/>
    <w:rsid w:val="00136A15"/>
    <w:rsid w:val="0015327D"/>
    <w:rsid w:val="00156E3D"/>
    <w:rsid w:val="0016280C"/>
    <w:rsid w:val="00177397"/>
    <w:rsid w:val="001777EB"/>
    <w:rsid w:val="00180996"/>
    <w:rsid w:val="00180BCF"/>
    <w:rsid w:val="00184390"/>
    <w:rsid w:val="0019489C"/>
    <w:rsid w:val="00197FD8"/>
    <w:rsid w:val="001A2E87"/>
    <w:rsid w:val="001A3BC4"/>
    <w:rsid w:val="001B25FF"/>
    <w:rsid w:val="001B4F9B"/>
    <w:rsid w:val="001C1ADA"/>
    <w:rsid w:val="001C36E3"/>
    <w:rsid w:val="001D24C7"/>
    <w:rsid w:val="001D3A83"/>
    <w:rsid w:val="001D63E4"/>
    <w:rsid w:val="001E04C8"/>
    <w:rsid w:val="001E1DAC"/>
    <w:rsid w:val="001F0180"/>
    <w:rsid w:val="001F2739"/>
    <w:rsid w:val="001F28A0"/>
    <w:rsid w:val="001F29FA"/>
    <w:rsid w:val="001F4A59"/>
    <w:rsid w:val="001F4EC1"/>
    <w:rsid w:val="001F5BD1"/>
    <w:rsid w:val="00200855"/>
    <w:rsid w:val="00201651"/>
    <w:rsid w:val="00204619"/>
    <w:rsid w:val="002070B6"/>
    <w:rsid w:val="002106D2"/>
    <w:rsid w:val="002168F6"/>
    <w:rsid w:val="00222B79"/>
    <w:rsid w:val="00224AF9"/>
    <w:rsid w:val="00226D33"/>
    <w:rsid w:val="0022775B"/>
    <w:rsid w:val="00231BE6"/>
    <w:rsid w:val="00237179"/>
    <w:rsid w:val="00237901"/>
    <w:rsid w:val="002506C0"/>
    <w:rsid w:val="00251259"/>
    <w:rsid w:val="00251B08"/>
    <w:rsid w:val="002564B4"/>
    <w:rsid w:val="00256C51"/>
    <w:rsid w:val="0026079C"/>
    <w:rsid w:val="00271094"/>
    <w:rsid w:val="002719FA"/>
    <w:rsid w:val="00273F7D"/>
    <w:rsid w:val="002760A1"/>
    <w:rsid w:val="00280BDB"/>
    <w:rsid w:val="00286AA6"/>
    <w:rsid w:val="0029030F"/>
    <w:rsid w:val="002928E7"/>
    <w:rsid w:val="002A0D41"/>
    <w:rsid w:val="002A3688"/>
    <w:rsid w:val="002B06AB"/>
    <w:rsid w:val="002B1D55"/>
    <w:rsid w:val="002C4F7C"/>
    <w:rsid w:val="002D2644"/>
    <w:rsid w:val="002D4DE4"/>
    <w:rsid w:val="002D5B42"/>
    <w:rsid w:val="002E4B2F"/>
    <w:rsid w:val="002F0C51"/>
    <w:rsid w:val="002F160F"/>
    <w:rsid w:val="002F7ACB"/>
    <w:rsid w:val="00303974"/>
    <w:rsid w:val="0031151E"/>
    <w:rsid w:val="00312CDB"/>
    <w:rsid w:val="00322433"/>
    <w:rsid w:val="003235FE"/>
    <w:rsid w:val="003328FC"/>
    <w:rsid w:val="00334B46"/>
    <w:rsid w:val="0036051A"/>
    <w:rsid w:val="00361A78"/>
    <w:rsid w:val="00362D20"/>
    <w:rsid w:val="00363B1B"/>
    <w:rsid w:val="003677BE"/>
    <w:rsid w:val="00372776"/>
    <w:rsid w:val="00375C66"/>
    <w:rsid w:val="003763B8"/>
    <w:rsid w:val="0038445D"/>
    <w:rsid w:val="003935D1"/>
    <w:rsid w:val="003A463F"/>
    <w:rsid w:val="003B252E"/>
    <w:rsid w:val="003B2E6D"/>
    <w:rsid w:val="003B477D"/>
    <w:rsid w:val="003B52E2"/>
    <w:rsid w:val="003B7F3F"/>
    <w:rsid w:val="003C4C03"/>
    <w:rsid w:val="003D48B9"/>
    <w:rsid w:val="003D4F6A"/>
    <w:rsid w:val="003E36B8"/>
    <w:rsid w:val="003E6DF0"/>
    <w:rsid w:val="003E6E89"/>
    <w:rsid w:val="003F17F4"/>
    <w:rsid w:val="003F1F87"/>
    <w:rsid w:val="003F2513"/>
    <w:rsid w:val="003F69B1"/>
    <w:rsid w:val="004046A5"/>
    <w:rsid w:val="00410B1A"/>
    <w:rsid w:val="0041168A"/>
    <w:rsid w:val="004134C2"/>
    <w:rsid w:val="00413ED5"/>
    <w:rsid w:val="0042377C"/>
    <w:rsid w:val="00424004"/>
    <w:rsid w:val="00434550"/>
    <w:rsid w:val="00442CF0"/>
    <w:rsid w:val="004434CA"/>
    <w:rsid w:val="00446773"/>
    <w:rsid w:val="00462A60"/>
    <w:rsid w:val="00463139"/>
    <w:rsid w:val="00465490"/>
    <w:rsid w:val="00466FBE"/>
    <w:rsid w:val="00474D4A"/>
    <w:rsid w:val="00475DB6"/>
    <w:rsid w:val="0049251F"/>
    <w:rsid w:val="004948A9"/>
    <w:rsid w:val="00495793"/>
    <w:rsid w:val="004A6061"/>
    <w:rsid w:val="004A68CA"/>
    <w:rsid w:val="004B2852"/>
    <w:rsid w:val="004C0D88"/>
    <w:rsid w:val="004E2335"/>
    <w:rsid w:val="004E2CC0"/>
    <w:rsid w:val="004E7734"/>
    <w:rsid w:val="004E7974"/>
    <w:rsid w:val="004F166D"/>
    <w:rsid w:val="004F7469"/>
    <w:rsid w:val="00501F17"/>
    <w:rsid w:val="00506A84"/>
    <w:rsid w:val="00510B1D"/>
    <w:rsid w:val="00516A8D"/>
    <w:rsid w:val="005179AF"/>
    <w:rsid w:val="00521FCA"/>
    <w:rsid w:val="0052300B"/>
    <w:rsid w:val="00523288"/>
    <w:rsid w:val="00523712"/>
    <w:rsid w:val="00532058"/>
    <w:rsid w:val="005322AA"/>
    <w:rsid w:val="005331E4"/>
    <w:rsid w:val="00533F72"/>
    <w:rsid w:val="00536D51"/>
    <w:rsid w:val="00550EAF"/>
    <w:rsid w:val="00553F38"/>
    <w:rsid w:val="0056216F"/>
    <w:rsid w:val="00567E9D"/>
    <w:rsid w:val="0057196D"/>
    <w:rsid w:val="00582718"/>
    <w:rsid w:val="00582BF9"/>
    <w:rsid w:val="0058771F"/>
    <w:rsid w:val="00591329"/>
    <w:rsid w:val="005972DA"/>
    <w:rsid w:val="005A23B0"/>
    <w:rsid w:val="005B181A"/>
    <w:rsid w:val="005B3751"/>
    <w:rsid w:val="005B4523"/>
    <w:rsid w:val="005B4DB4"/>
    <w:rsid w:val="005B793B"/>
    <w:rsid w:val="005C2DA9"/>
    <w:rsid w:val="005C3794"/>
    <w:rsid w:val="005E1068"/>
    <w:rsid w:val="005E3562"/>
    <w:rsid w:val="005E449D"/>
    <w:rsid w:val="005F17E6"/>
    <w:rsid w:val="005F2926"/>
    <w:rsid w:val="005F2C65"/>
    <w:rsid w:val="005F4265"/>
    <w:rsid w:val="00600CC0"/>
    <w:rsid w:val="006105E3"/>
    <w:rsid w:val="00612A58"/>
    <w:rsid w:val="00617CCF"/>
    <w:rsid w:val="00626939"/>
    <w:rsid w:val="00627F4E"/>
    <w:rsid w:val="00631400"/>
    <w:rsid w:val="00634EA3"/>
    <w:rsid w:val="00641C97"/>
    <w:rsid w:val="006431AB"/>
    <w:rsid w:val="00655F68"/>
    <w:rsid w:val="006607B9"/>
    <w:rsid w:val="00666333"/>
    <w:rsid w:val="006708D0"/>
    <w:rsid w:val="00675ABF"/>
    <w:rsid w:val="0067772B"/>
    <w:rsid w:val="006800CC"/>
    <w:rsid w:val="00692E4B"/>
    <w:rsid w:val="0069626A"/>
    <w:rsid w:val="006A0C19"/>
    <w:rsid w:val="006A1642"/>
    <w:rsid w:val="006A592A"/>
    <w:rsid w:val="006A70AF"/>
    <w:rsid w:val="006B0695"/>
    <w:rsid w:val="006B3AE0"/>
    <w:rsid w:val="006B4250"/>
    <w:rsid w:val="006C21C0"/>
    <w:rsid w:val="006C2B32"/>
    <w:rsid w:val="006D1926"/>
    <w:rsid w:val="006D5003"/>
    <w:rsid w:val="006D578A"/>
    <w:rsid w:val="006E12B1"/>
    <w:rsid w:val="006E1C14"/>
    <w:rsid w:val="006E2168"/>
    <w:rsid w:val="006E2D26"/>
    <w:rsid w:val="006E36E9"/>
    <w:rsid w:val="006E4108"/>
    <w:rsid w:val="006E7673"/>
    <w:rsid w:val="006E7808"/>
    <w:rsid w:val="006E7CF7"/>
    <w:rsid w:val="006F30E7"/>
    <w:rsid w:val="00701338"/>
    <w:rsid w:val="00702358"/>
    <w:rsid w:val="00705294"/>
    <w:rsid w:val="00711261"/>
    <w:rsid w:val="0071696A"/>
    <w:rsid w:val="00716A95"/>
    <w:rsid w:val="0071740F"/>
    <w:rsid w:val="00724101"/>
    <w:rsid w:val="00726E43"/>
    <w:rsid w:val="0073256A"/>
    <w:rsid w:val="00735306"/>
    <w:rsid w:val="007462AB"/>
    <w:rsid w:val="00747AB3"/>
    <w:rsid w:val="00755806"/>
    <w:rsid w:val="007570E5"/>
    <w:rsid w:val="007722B4"/>
    <w:rsid w:val="00777102"/>
    <w:rsid w:val="00782861"/>
    <w:rsid w:val="00785480"/>
    <w:rsid w:val="007969ED"/>
    <w:rsid w:val="007A2705"/>
    <w:rsid w:val="007A2F8D"/>
    <w:rsid w:val="007A5EAA"/>
    <w:rsid w:val="007B2D38"/>
    <w:rsid w:val="007B5B2C"/>
    <w:rsid w:val="007C1D96"/>
    <w:rsid w:val="007C2276"/>
    <w:rsid w:val="007C3C8B"/>
    <w:rsid w:val="007C48B3"/>
    <w:rsid w:val="007D3FA3"/>
    <w:rsid w:val="007D5208"/>
    <w:rsid w:val="007E619E"/>
    <w:rsid w:val="007F5190"/>
    <w:rsid w:val="007F612A"/>
    <w:rsid w:val="00806612"/>
    <w:rsid w:val="00815040"/>
    <w:rsid w:val="00816922"/>
    <w:rsid w:val="00823A82"/>
    <w:rsid w:val="0084314B"/>
    <w:rsid w:val="00857071"/>
    <w:rsid w:val="00865227"/>
    <w:rsid w:val="0086678A"/>
    <w:rsid w:val="00867C5E"/>
    <w:rsid w:val="008767F3"/>
    <w:rsid w:val="00881857"/>
    <w:rsid w:val="00881B7F"/>
    <w:rsid w:val="00886B1D"/>
    <w:rsid w:val="0089200C"/>
    <w:rsid w:val="00892D14"/>
    <w:rsid w:val="008932C0"/>
    <w:rsid w:val="008A5BD1"/>
    <w:rsid w:val="008C25A6"/>
    <w:rsid w:val="008C3F05"/>
    <w:rsid w:val="008C4164"/>
    <w:rsid w:val="008D1333"/>
    <w:rsid w:val="008D4C42"/>
    <w:rsid w:val="008E450E"/>
    <w:rsid w:val="008E763F"/>
    <w:rsid w:val="008F1D06"/>
    <w:rsid w:val="00903AE5"/>
    <w:rsid w:val="00905AB9"/>
    <w:rsid w:val="00910407"/>
    <w:rsid w:val="009152C2"/>
    <w:rsid w:val="00920A19"/>
    <w:rsid w:val="0092273D"/>
    <w:rsid w:val="00930BD6"/>
    <w:rsid w:val="00932D0C"/>
    <w:rsid w:val="0094141D"/>
    <w:rsid w:val="00942958"/>
    <w:rsid w:val="00945B51"/>
    <w:rsid w:val="00946269"/>
    <w:rsid w:val="00963411"/>
    <w:rsid w:val="009646FC"/>
    <w:rsid w:val="009744CA"/>
    <w:rsid w:val="009821B4"/>
    <w:rsid w:val="009841AF"/>
    <w:rsid w:val="00985E26"/>
    <w:rsid w:val="009976AC"/>
    <w:rsid w:val="009A1320"/>
    <w:rsid w:val="009A26DD"/>
    <w:rsid w:val="009B47AB"/>
    <w:rsid w:val="009B63B7"/>
    <w:rsid w:val="009C0007"/>
    <w:rsid w:val="009C0262"/>
    <w:rsid w:val="009C0E7B"/>
    <w:rsid w:val="009C0FDA"/>
    <w:rsid w:val="009C61D6"/>
    <w:rsid w:val="009D442E"/>
    <w:rsid w:val="009E2F21"/>
    <w:rsid w:val="009E63F0"/>
    <w:rsid w:val="009F16F6"/>
    <w:rsid w:val="009F371B"/>
    <w:rsid w:val="009F5295"/>
    <w:rsid w:val="009F709E"/>
    <w:rsid w:val="00A006C9"/>
    <w:rsid w:val="00A00D20"/>
    <w:rsid w:val="00A03BFD"/>
    <w:rsid w:val="00A07198"/>
    <w:rsid w:val="00A17608"/>
    <w:rsid w:val="00A20EDC"/>
    <w:rsid w:val="00A3190A"/>
    <w:rsid w:val="00A33536"/>
    <w:rsid w:val="00A379B7"/>
    <w:rsid w:val="00A44134"/>
    <w:rsid w:val="00A51A51"/>
    <w:rsid w:val="00A55BAA"/>
    <w:rsid w:val="00A70D4F"/>
    <w:rsid w:val="00A73A17"/>
    <w:rsid w:val="00A8238A"/>
    <w:rsid w:val="00A83239"/>
    <w:rsid w:val="00A905C2"/>
    <w:rsid w:val="00A92477"/>
    <w:rsid w:val="00A925C1"/>
    <w:rsid w:val="00A97685"/>
    <w:rsid w:val="00A97C5C"/>
    <w:rsid w:val="00AA683B"/>
    <w:rsid w:val="00AA6FA5"/>
    <w:rsid w:val="00AA77B4"/>
    <w:rsid w:val="00AB380A"/>
    <w:rsid w:val="00AC04BD"/>
    <w:rsid w:val="00AC1859"/>
    <w:rsid w:val="00AC1C43"/>
    <w:rsid w:val="00AC4641"/>
    <w:rsid w:val="00AC5646"/>
    <w:rsid w:val="00AD00EE"/>
    <w:rsid w:val="00AD0277"/>
    <w:rsid w:val="00AD353C"/>
    <w:rsid w:val="00AD42A0"/>
    <w:rsid w:val="00AD77F6"/>
    <w:rsid w:val="00AE3760"/>
    <w:rsid w:val="00AE3EE6"/>
    <w:rsid w:val="00AF2B63"/>
    <w:rsid w:val="00AF5AFF"/>
    <w:rsid w:val="00AF5BC0"/>
    <w:rsid w:val="00AF6285"/>
    <w:rsid w:val="00AF6A3D"/>
    <w:rsid w:val="00AF7E71"/>
    <w:rsid w:val="00B01F64"/>
    <w:rsid w:val="00B02654"/>
    <w:rsid w:val="00B02728"/>
    <w:rsid w:val="00B04556"/>
    <w:rsid w:val="00B04CC8"/>
    <w:rsid w:val="00B16143"/>
    <w:rsid w:val="00B21549"/>
    <w:rsid w:val="00B365E0"/>
    <w:rsid w:val="00B368A5"/>
    <w:rsid w:val="00B50EBF"/>
    <w:rsid w:val="00B50F4E"/>
    <w:rsid w:val="00B60FBE"/>
    <w:rsid w:val="00B61A79"/>
    <w:rsid w:val="00B71328"/>
    <w:rsid w:val="00B72089"/>
    <w:rsid w:val="00B74116"/>
    <w:rsid w:val="00B75EB4"/>
    <w:rsid w:val="00B8262D"/>
    <w:rsid w:val="00B848DD"/>
    <w:rsid w:val="00B85D8A"/>
    <w:rsid w:val="00B86E1E"/>
    <w:rsid w:val="00B87FC0"/>
    <w:rsid w:val="00B908E1"/>
    <w:rsid w:val="00B90BF2"/>
    <w:rsid w:val="00BA2734"/>
    <w:rsid w:val="00BA6B6C"/>
    <w:rsid w:val="00BB3C12"/>
    <w:rsid w:val="00BB5739"/>
    <w:rsid w:val="00BC3057"/>
    <w:rsid w:val="00BD2F8B"/>
    <w:rsid w:val="00BD3727"/>
    <w:rsid w:val="00BD59D9"/>
    <w:rsid w:val="00BD7921"/>
    <w:rsid w:val="00BE00EF"/>
    <w:rsid w:val="00BE183B"/>
    <w:rsid w:val="00BE4D15"/>
    <w:rsid w:val="00BF3DF9"/>
    <w:rsid w:val="00C00E8E"/>
    <w:rsid w:val="00C11AC3"/>
    <w:rsid w:val="00C1398A"/>
    <w:rsid w:val="00C205ED"/>
    <w:rsid w:val="00C211B0"/>
    <w:rsid w:val="00C23FAF"/>
    <w:rsid w:val="00C258A3"/>
    <w:rsid w:val="00C2687B"/>
    <w:rsid w:val="00C30814"/>
    <w:rsid w:val="00C329C2"/>
    <w:rsid w:val="00C5405A"/>
    <w:rsid w:val="00C55245"/>
    <w:rsid w:val="00C71FF9"/>
    <w:rsid w:val="00C730D7"/>
    <w:rsid w:val="00C73B07"/>
    <w:rsid w:val="00C756D0"/>
    <w:rsid w:val="00C87689"/>
    <w:rsid w:val="00C90A3F"/>
    <w:rsid w:val="00C9602B"/>
    <w:rsid w:val="00C974E9"/>
    <w:rsid w:val="00C97800"/>
    <w:rsid w:val="00C97D70"/>
    <w:rsid w:val="00CA2DFF"/>
    <w:rsid w:val="00CA4402"/>
    <w:rsid w:val="00CB574F"/>
    <w:rsid w:val="00CC2B42"/>
    <w:rsid w:val="00CC4FBE"/>
    <w:rsid w:val="00CC505C"/>
    <w:rsid w:val="00CD3F8B"/>
    <w:rsid w:val="00CE271F"/>
    <w:rsid w:val="00CE2E22"/>
    <w:rsid w:val="00CE4782"/>
    <w:rsid w:val="00CE5082"/>
    <w:rsid w:val="00CF6D4F"/>
    <w:rsid w:val="00CF7AF9"/>
    <w:rsid w:val="00D0577B"/>
    <w:rsid w:val="00D131C4"/>
    <w:rsid w:val="00D21D53"/>
    <w:rsid w:val="00D25D5E"/>
    <w:rsid w:val="00D310DA"/>
    <w:rsid w:val="00D31438"/>
    <w:rsid w:val="00D377B0"/>
    <w:rsid w:val="00D42906"/>
    <w:rsid w:val="00D43F40"/>
    <w:rsid w:val="00D442AF"/>
    <w:rsid w:val="00D44B38"/>
    <w:rsid w:val="00D55B1F"/>
    <w:rsid w:val="00D64276"/>
    <w:rsid w:val="00D656E0"/>
    <w:rsid w:val="00D75884"/>
    <w:rsid w:val="00D904AE"/>
    <w:rsid w:val="00D9058F"/>
    <w:rsid w:val="00D906AB"/>
    <w:rsid w:val="00D920E8"/>
    <w:rsid w:val="00D965EB"/>
    <w:rsid w:val="00D96F37"/>
    <w:rsid w:val="00D97A7C"/>
    <w:rsid w:val="00DA277A"/>
    <w:rsid w:val="00DA328B"/>
    <w:rsid w:val="00DA3449"/>
    <w:rsid w:val="00DB3CC1"/>
    <w:rsid w:val="00DC2E06"/>
    <w:rsid w:val="00DC4A3B"/>
    <w:rsid w:val="00DE1DC7"/>
    <w:rsid w:val="00DE4FAC"/>
    <w:rsid w:val="00DF22F8"/>
    <w:rsid w:val="00DF3B13"/>
    <w:rsid w:val="00DF66E2"/>
    <w:rsid w:val="00DF7305"/>
    <w:rsid w:val="00E02211"/>
    <w:rsid w:val="00E133CA"/>
    <w:rsid w:val="00E14BDA"/>
    <w:rsid w:val="00E1674C"/>
    <w:rsid w:val="00E22A44"/>
    <w:rsid w:val="00E242FB"/>
    <w:rsid w:val="00E254A0"/>
    <w:rsid w:val="00E261B0"/>
    <w:rsid w:val="00E30188"/>
    <w:rsid w:val="00E30321"/>
    <w:rsid w:val="00E372FD"/>
    <w:rsid w:val="00E37D9D"/>
    <w:rsid w:val="00E44040"/>
    <w:rsid w:val="00E44F00"/>
    <w:rsid w:val="00E45065"/>
    <w:rsid w:val="00E60126"/>
    <w:rsid w:val="00E602A4"/>
    <w:rsid w:val="00E6053F"/>
    <w:rsid w:val="00E609B9"/>
    <w:rsid w:val="00E64251"/>
    <w:rsid w:val="00E64FE5"/>
    <w:rsid w:val="00E65CEC"/>
    <w:rsid w:val="00E873A7"/>
    <w:rsid w:val="00E8772B"/>
    <w:rsid w:val="00E93757"/>
    <w:rsid w:val="00E93BE4"/>
    <w:rsid w:val="00E954C3"/>
    <w:rsid w:val="00E96AE8"/>
    <w:rsid w:val="00EA5F4D"/>
    <w:rsid w:val="00EB0630"/>
    <w:rsid w:val="00EB259C"/>
    <w:rsid w:val="00EB776F"/>
    <w:rsid w:val="00EC532F"/>
    <w:rsid w:val="00EC6DFD"/>
    <w:rsid w:val="00ED2705"/>
    <w:rsid w:val="00EE0EEB"/>
    <w:rsid w:val="00EE1800"/>
    <w:rsid w:val="00EE5054"/>
    <w:rsid w:val="00EE6489"/>
    <w:rsid w:val="00EF446F"/>
    <w:rsid w:val="00F05E04"/>
    <w:rsid w:val="00F14A13"/>
    <w:rsid w:val="00F22204"/>
    <w:rsid w:val="00F22C77"/>
    <w:rsid w:val="00F2309D"/>
    <w:rsid w:val="00F23DE2"/>
    <w:rsid w:val="00F264AE"/>
    <w:rsid w:val="00F3080C"/>
    <w:rsid w:val="00F31F88"/>
    <w:rsid w:val="00F32249"/>
    <w:rsid w:val="00F32567"/>
    <w:rsid w:val="00F33DCF"/>
    <w:rsid w:val="00F36BDC"/>
    <w:rsid w:val="00F42317"/>
    <w:rsid w:val="00F4735A"/>
    <w:rsid w:val="00F47C17"/>
    <w:rsid w:val="00F60533"/>
    <w:rsid w:val="00F646E9"/>
    <w:rsid w:val="00F665E2"/>
    <w:rsid w:val="00F6727A"/>
    <w:rsid w:val="00F70C1F"/>
    <w:rsid w:val="00F717F1"/>
    <w:rsid w:val="00F7612E"/>
    <w:rsid w:val="00F770A0"/>
    <w:rsid w:val="00F82375"/>
    <w:rsid w:val="00F876AD"/>
    <w:rsid w:val="00F9190B"/>
    <w:rsid w:val="00F94126"/>
    <w:rsid w:val="00F94ACE"/>
    <w:rsid w:val="00F974A6"/>
    <w:rsid w:val="00FA0532"/>
    <w:rsid w:val="00FA583F"/>
    <w:rsid w:val="00FB34A7"/>
    <w:rsid w:val="00FD04CF"/>
    <w:rsid w:val="00FD7B4B"/>
    <w:rsid w:val="00FF1C95"/>
    <w:rsid w:val="00FF36F9"/>
    <w:rsid w:val="00FF4AB8"/>
    <w:rsid w:val="00FF75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2D85B"/>
  <w15:chartTrackingRefBased/>
  <w15:docId w15:val="{B349F1A0-8131-4ED3-A58B-3188FE0D4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drão"/>
    <w:qFormat/>
    <w:rsid w:val="00CC4FBE"/>
    <w:pPr>
      <w:ind w:firstLine="709"/>
      <w:jc w:val="both"/>
    </w:pPr>
    <w:rPr>
      <w:rFonts w:ascii="Palatino Linotype" w:hAnsi="Palatino Linotype"/>
      <w:color w:val="000000" w:themeColor="text1"/>
    </w:rPr>
  </w:style>
  <w:style w:type="paragraph" w:styleId="Ttulo1">
    <w:name w:val="heading 1"/>
    <w:basedOn w:val="Normal"/>
    <w:next w:val="Normal"/>
    <w:link w:val="Ttulo1Char"/>
    <w:uiPriority w:val="9"/>
    <w:qFormat/>
    <w:rsid w:val="00F7612E"/>
    <w:pPr>
      <w:keepNext/>
      <w:keepLines/>
      <w:numPr>
        <w:numId w:val="1"/>
      </w:numPr>
      <w:spacing w:before="160" w:after="80"/>
      <w:outlineLvl w:val="0"/>
    </w:pPr>
    <w:rPr>
      <w:rFonts w:eastAsiaTheme="majorEastAsia" w:cstheme="majorBidi"/>
      <w:b/>
      <w:caps/>
      <w:color w:val="324664"/>
      <w:sz w:val="28"/>
      <w:szCs w:val="40"/>
    </w:rPr>
  </w:style>
  <w:style w:type="paragraph" w:styleId="Ttulo2">
    <w:name w:val="heading 2"/>
    <w:basedOn w:val="Normal"/>
    <w:next w:val="Normal"/>
    <w:link w:val="Ttulo2Char"/>
    <w:uiPriority w:val="9"/>
    <w:unhideWhenUsed/>
    <w:qFormat/>
    <w:rsid w:val="00F7612E"/>
    <w:pPr>
      <w:keepNext/>
      <w:keepLines/>
      <w:spacing w:before="80" w:line="240" w:lineRule="auto"/>
      <w:ind w:firstLine="0"/>
      <w:outlineLvl w:val="1"/>
    </w:pPr>
    <w:rPr>
      <w:rFonts w:eastAsiaTheme="majorEastAsia" w:cstheme="majorBidi"/>
      <w:b/>
      <w:i/>
      <w:caps/>
      <w:color w:val="324664"/>
      <w:sz w:val="26"/>
      <w:szCs w:val="32"/>
    </w:rPr>
  </w:style>
  <w:style w:type="paragraph" w:styleId="Ttulo3">
    <w:name w:val="heading 3"/>
    <w:basedOn w:val="Normal"/>
    <w:next w:val="Normal"/>
    <w:link w:val="Ttulo3Char"/>
    <w:uiPriority w:val="9"/>
    <w:unhideWhenUsed/>
    <w:qFormat/>
    <w:rsid w:val="00026CB7"/>
    <w:pPr>
      <w:keepNext/>
      <w:keepLines/>
      <w:spacing w:before="160" w:line="240" w:lineRule="auto"/>
      <w:ind w:firstLine="0"/>
      <w:jc w:val="center"/>
      <w:outlineLvl w:val="2"/>
    </w:pPr>
    <w:rPr>
      <w:rFonts w:eastAsiaTheme="majorEastAsia" w:cstheme="majorBidi"/>
      <w:b/>
      <w:caps/>
      <w:color w:val="324664"/>
      <w:sz w:val="40"/>
      <w:szCs w:val="28"/>
    </w:rPr>
  </w:style>
  <w:style w:type="paragraph" w:styleId="Ttulo4">
    <w:name w:val="heading 4"/>
    <w:aliases w:val="Endereçamento"/>
    <w:basedOn w:val="Normal"/>
    <w:next w:val="Normal"/>
    <w:link w:val="Ttulo4Char"/>
    <w:uiPriority w:val="9"/>
    <w:unhideWhenUsed/>
    <w:qFormat/>
    <w:rsid w:val="00B85D8A"/>
    <w:pPr>
      <w:keepNext/>
      <w:keepLines/>
      <w:spacing w:line="240" w:lineRule="auto"/>
      <w:ind w:firstLine="0"/>
      <w:outlineLvl w:val="3"/>
    </w:pPr>
    <w:rPr>
      <w:rFonts w:eastAsiaTheme="majorEastAsia" w:cstheme="majorBidi"/>
      <w:b/>
      <w:iCs/>
      <w:caps/>
      <w:color w:val="324664"/>
    </w:rPr>
  </w:style>
  <w:style w:type="paragraph" w:styleId="Ttulo5">
    <w:name w:val="heading 5"/>
    <w:basedOn w:val="Normal"/>
    <w:next w:val="Normal"/>
    <w:link w:val="Ttulo5Char"/>
    <w:uiPriority w:val="9"/>
    <w:unhideWhenUsed/>
    <w:qFormat/>
    <w:rsid w:val="004F74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F74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F74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F74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F746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7612E"/>
    <w:rPr>
      <w:rFonts w:ascii="Palatino Linotype" w:eastAsiaTheme="majorEastAsia" w:hAnsi="Palatino Linotype" w:cstheme="majorBidi"/>
      <w:b/>
      <w:caps/>
      <w:color w:val="324664"/>
      <w:sz w:val="28"/>
      <w:szCs w:val="40"/>
    </w:rPr>
  </w:style>
  <w:style w:type="character" w:customStyle="1" w:styleId="Ttulo2Char">
    <w:name w:val="Título 2 Char"/>
    <w:basedOn w:val="Fontepargpadro"/>
    <w:link w:val="Ttulo2"/>
    <w:uiPriority w:val="9"/>
    <w:rsid w:val="00F7612E"/>
    <w:rPr>
      <w:rFonts w:ascii="Palatino Linotype" w:eastAsiaTheme="majorEastAsia" w:hAnsi="Palatino Linotype" w:cstheme="majorBidi"/>
      <w:b/>
      <w:i/>
      <w:caps/>
      <w:color w:val="324664"/>
      <w:sz w:val="26"/>
      <w:szCs w:val="32"/>
    </w:rPr>
  </w:style>
  <w:style w:type="character" w:customStyle="1" w:styleId="Ttulo3Char">
    <w:name w:val="Título 3 Char"/>
    <w:basedOn w:val="Fontepargpadro"/>
    <w:link w:val="Ttulo3"/>
    <w:uiPriority w:val="9"/>
    <w:rsid w:val="00026CB7"/>
    <w:rPr>
      <w:rFonts w:ascii="Palatino Linotype" w:eastAsiaTheme="majorEastAsia" w:hAnsi="Palatino Linotype" w:cstheme="majorBidi"/>
      <w:b/>
      <w:caps/>
      <w:color w:val="324664"/>
      <w:sz w:val="40"/>
      <w:szCs w:val="28"/>
    </w:rPr>
  </w:style>
  <w:style w:type="character" w:customStyle="1" w:styleId="Ttulo4Char">
    <w:name w:val="Título 4 Char"/>
    <w:aliases w:val="Endereçamento Char"/>
    <w:basedOn w:val="Fontepargpadro"/>
    <w:link w:val="Ttulo4"/>
    <w:uiPriority w:val="9"/>
    <w:rsid w:val="00B85D8A"/>
    <w:rPr>
      <w:rFonts w:ascii="Palatino Linotype" w:eastAsiaTheme="majorEastAsia" w:hAnsi="Palatino Linotype" w:cstheme="majorBidi"/>
      <w:b/>
      <w:iCs/>
      <w:caps/>
      <w:color w:val="324664"/>
    </w:rPr>
  </w:style>
  <w:style w:type="character" w:customStyle="1" w:styleId="Ttulo5Char">
    <w:name w:val="Título 5 Char"/>
    <w:basedOn w:val="Fontepargpadro"/>
    <w:link w:val="Ttulo5"/>
    <w:uiPriority w:val="9"/>
    <w:rsid w:val="004F746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F746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F746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F746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F7469"/>
    <w:rPr>
      <w:rFonts w:eastAsiaTheme="majorEastAsia" w:cstheme="majorBidi"/>
      <w:color w:val="272727" w:themeColor="text1" w:themeTint="D8"/>
    </w:rPr>
  </w:style>
  <w:style w:type="paragraph" w:styleId="Ttulo">
    <w:name w:val="Title"/>
    <w:basedOn w:val="Normal"/>
    <w:next w:val="Normal"/>
    <w:link w:val="TtuloChar"/>
    <w:uiPriority w:val="10"/>
    <w:qFormat/>
    <w:rsid w:val="004F7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F74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F7469"/>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F746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F7469"/>
    <w:pPr>
      <w:spacing w:before="160"/>
      <w:jc w:val="center"/>
    </w:pPr>
    <w:rPr>
      <w:i/>
      <w:iCs/>
      <w:color w:val="404040" w:themeColor="text1" w:themeTint="BF"/>
    </w:rPr>
  </w:style>
  <w:style w:type="character" w:customStyle="1" w:styleId="CitaoChar">
    <w:name w:val="Citação Char"/>
    <w:basedOn w:val="Fontepargpadro"/>
    <w:link w:val="Citao"/>
    <w:uiPriority w:val="29"/>
    <w:rsid w:val="004F7469"/>
    <w:rPr>
      <w:i/>
      <w:iCs/>
      <w:color w:val="404040" w:themeColor="text1" w:themeTint="BF"/>
    </w:rPr>
  </w:style>
  <w:style w:type="paragraph" w:styleId="PargrafodaLista">
    <w:name w:val="List Paragraph"/>
    <w:basedOn w:val="Normal"/>
    <w:uiPriority w:val="34"/>
    <w:qFormat/>
    <w:rsid w:val="004F7469"/>
    <w:pPr>
      <w:ind w:left="720"/>
      <w:contextualSpacing/>
    </w:pPr>
  </w:style>
  <w:style w:type="character" w:styleId="nfaseIntensa">
    <w:name w:val="Intense Emphasis"/>
    <w:basedOn w:val="Fontepargpadro"/>
    <w:uiPriority w:val="21"/>
    <w:qFormat/>
    <w:rsid w:val="004F7469"/>
    <w:rPr>
      <w:i/>
      <w:iCs/>
      <w:color w:val="2F5496" w:themeColor="accent1" w:themeShade="BF"/>
    </w:rPr>
  </w:style>
  <w:style w:type="paragraph" w:styleId="CitaoIntensa">
    <w:name w:val="Intense Quote"/>
    <w:basedOn w:val="Normal"/>
    <w:next w:val="Normal"/>
    <w:link w:val="CitaoIntensaChar"/>
    <w:uiPriority w:val="30"/>
    <w:qFormat/>
    <w:rsid w:val="004F7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F7469"/>
    <w:rPr>
      <w:i/>
      <w:iCs/>
      <w:color w:val="2F5496" w:themeColor="accent1" w:themeShade="BF"/>
    </w:rPr>
  </w:style>
  <w:style w:type="character" w:styleId="RefernciaIntensa">
    <w:name w:val="Intense Reference"/>
    <w:basedOn w:val="Fontepargpadro"/>
    <w:uiPriority w:val="32"/>
    <w:qFormat/>
    <w:rsid w:val="004F7469"/>
    <w:rPr>
      <w:b/>
      <w:bCs/>
      <w:smallCaps/>
      <w:color w:val="2F5496" w:themeColor="accent1" w:themeShade="BF"/>
      <w:spacing w:val="5"/>
    </w:rPr>
  </w:style>
  <w:style w:type="paragraph" w:styleId="Cabealho">
    <w:name w:val="header"/>
    <w:basedOn w:val="Normal"/>
    <w:link w:val="CabealhoChar"/>
    <w:unhideWhenUsed/>
    <w:rsid w:val="004F7469"/>
    <w:pPr>
      <w:tabs>
        <w:tab w:val="center" w:pos="4252"/>
        <w:tab w:val="right" w:pos="8504"/>
      </w:tabs>
      <w:spacing w:after="0" w:line="240" w:lineRule="auto"/>
    </w:pPr>
  </w:style>
  <w:style w:type="character" w:customStyle="1" w:styleId="CabealhoChar">
    <w:name w:val="Cabeçalho Char"/>
    <w:basedOn w:val="Fontepargpadro"/>
    <w:link w:val="Cabealho"/>
    <w:rsid w:val="004F7469"/>
  </w:style>
  <w:style w:type="paragraph" w:styleId="Rodap">
    <w:name w:val="footer"/>
    <w:basedOn w:val="Normal"/>
    <w:link w:val="RodapChar"/>
    <w:uiPriority w:val="99"/>
    <w:unhideWhenUsed/>
    <w:rsid w:val="004F7469"/>
    <w:pPr>
      <w:tabs>
        <w:tab w:val="center" w:pos="4252"/>
        <w:tab w:val="right" w:pos="8504"/>
      </w:tabs>
      <w:spacing w:after="0" w:line="240" w:lineRule="auto"/>
    </w:pPr>
  </w:style>
  <w:style w:type="character" w:customStyle="1" w:styleId="RodapChar">
    <w:name w:val="Rodapé Char"/>
    <w:basedOn w:val="Fontepargpadro"/>
    <w:link w:val="Rodap"/>
    <w:uiPriority w:val="99"/>
    <w:rsid w:val="004F7469"/>
  </w:style>
  <w:style w:type="paragraph" w:styleId="SemEspaamento">
    <w:name w:val="No Spacing"/>
    <w:aliases w:val="CITAÇÃO"/>
    <w:uiPriority w:val="1"/>
    <w:qFormat/>
    <w:rsid w:val="00F7612E"/>
    <w:pPr>
      <w:spacing w:line="240" w:lineRule="auto"/>
      <w:ind w:left="2835"/>
      <w:jc w:val="both"/>
    </w:pPr>
    <w:rPr>
      <w:rFonts w:ascii="Palatino Linotype" w:hAnsi="Palatino Linotype"/>
      <w:color w:val="000000" w:themeColor="text1"/>
      <w:sz w:val="22"/>
    </w:rPr>
  </w:style>
  <w:style w:type="character" w:styleId="Forte">
    <w:name w:val="Strong"/>
    <w:basedOn w:val="Fontepargpadro"/>
    <w:uiPriority w:val="22"/>
    <w:qFormat/>
    <w:rsid w:val="000B363B"/>
    <w:rPr>
      <w:b/>
      <w:bCs/>
    </w:rPr>
  </w:style>
  <w:style w:type="paragraph" w:styleId="NormalWeb">
    <w:name w:val="Normal (Web)"/>
    <w:basedOn w:val="Normal"/>
    <w:uiPriority w:val="99"/>
    <w:semiHidden/>
    <w:unhideWhenUsed/>
    <w:rsid w:val="00F32249"/>
    <w:pPr>
      <w:spacing w:before="100" w:beforeAutospacing="1" w:after="100" w:afterAutospacing="1" w:line="240" w:lineRule="auto"/>
      <w:ind w:firstLine="0"/>
      <w:jc w:val="left"/>
    </w:pPr>
    <w:rPr>
      <w:rFonts w:ascii="Times New Roman" w:eastAsia="Times New Roman" w:hAnsi="Times New Roman" w:cs="Times New Roman"/>
      <w:color w:val="auto"/>
      <w:kern w:val="0"/>
      <w:lang w:eastAsia="pt-BR"/>
      <w14:ligatures w14:val="none"/>
    </w:rPr>
  </w:style>
  <w:style w:type="character" w:styleId="Hyperlink">
    <w:name w:val="Hyperlink"/>
    <w:basedOn w:val="Fontepargpadro"/>
    <w:uiPriority w:val="99"/>
    <w:unhideWhenUsed/>
    <w:rsid w:val="00865227"/>
    <w:rPr>
      <w:color w:val="0563C1" w:themeColor="hyperlink"/>
      <w:u w:val="single"/>
    </w:rPr>
  </w:style>
  <w:style w:type="character" w:styleId="MenoPendente">
    <w:name w:val="Unresolved Mention"/>
    <w:basedOn w:val="Fontepargpadro"/>
    <w:uiPriority w:val="99"/>
    <w:semiHidden/>
    <w:unhideWhenUsed/>
    <w:rsid w:val="00865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433">
      <w:bodyDiv w:val="1"/>
      <w:marLeft w:val="0"/>
      <w:marRight w:val="0"/>
      <w:marTop w:val="0"/>
      <w:marBottom w:val="0"/>
      <w:divBdr>
        <w:top w:val="none" w:sz="0" w:space="0" w:color="auto"/>
        <w:left w:val="none" w:sz="0" w:space="0" w:color="auto"/>
        <w:bottom w:val="none" w:sz="0" w:space="0" w:color="auto"/>
        <w:right w:val="none" w:sz="0" w:space="0" w:color="auto"/>
      </w:divBdr>
    </w:div>
    <w:div w:id="91319238">
      <w:bodyDiv w:val="1"/>
      <w:marLeft w:val="0"/>
      <w:marRight w:val="0"/>
      <w:marTop w:val="0"/>
      <w:marBottom w:val="0"/>
      <w:divBdr>
        <w:top w:val="none" w:sz="0" w:space="0" w:color="auto"/>
        <w:left w:val="none" w:sz="0" w:space="0" w:color="auto"/>
        <w:bottom w:val="none" w:sz="0" w:space="0" w:color="auto"/>
        <w:right w:val="none" w:sz="0" w:space="0" w:color="auto"/>
      </w:divBdr>
    </w:div>
    <w:div w:id="93282374">
      <w:bodyDiv w:val="1"/>
      <w:marLeft w:val="0"/>
      <w:marRight w:val="0"/>
      <w:marTop w:val="0"/>
      <w:marBottom w:val="0"/>
      <w:divBdr>
        <w:top w:val="none" w:sz="0" w:space="0" w:color="auto"/>
        <w:left w:val="none" w:sz="0" w:space="0" w:color="auto"/>
        <w:bottom w:val="none" w:sz="0" w:space="0" w:color="auto"/>
        <w:right w:val="none" w:sz="0" w:space="0" w:color="auto"/>
      </w:divBdr>
    </w:div>
    <w:div w:id="184834776">
      <w:bodyDiv w:val="1"/>
      <w:marLeft w:val="0"/>
      <w:marRight w:val="0"/>
      <w:marTop w:val="0"/>
      <w:marBottom w:val="0"/>
      <w:divBdr>
        <w:top w:val="none" w:sz="0" w:space="0" w:color="auto"/>
        <w:left w:val="none" w:sz="0" w:space="0" w:color="auto"/>
        <w:bottom w:val="none" w:sz="0" w:space="0" w:color="auto"/>
        <w:right w:val="none" w:sz="0" w:space="0" w:color="auto"/>
      </w:divBdr>
    </w:div>
    <w:div w:id="225919126">
      <w:bodyDiv w:val="1"/>
      <w:marLeft w:val="0"/>
      <w:marRight w:val="0"/>
      <w:marTop w:val="0"/>
      <w:marBottom w:val="0"/>
      <w:divBdr>
        <w:top w:val="none" w:sz="0" w:space="0" w:color="auto"/>
        <w:left w:val="none" w:sz="0" w:space="0" w:color="auto"/>
        <w:bottom w:val="none" w:sz="0" w:space="0" w:color="auto"/>
        <w:right w:val="none" w:sz="0" w:space="0" w:color="auto"/>
      </w:divBdr>
    </w:div>
    <w:div w:id="233705470">
      <w:bodyDiv w:val="1"/>
      <w:marLeft w:val="0"/>
      <w:marRight w:val="0"/>
      <w:marTop w:val="0"/>
      <w:marBottom w:val="0"/>
      <w:divBdr>
        <w:top w:val="none" w:sz="0" w:space="0" w:color="auto"/>
        <w:left w:val="none" w:sz="0" w:space="0" w:color="auto"/>
        <w:bottom w:val="none" w:sz="0" w:space="0" w:color="auto"/>
        <w:right w:val="none" w:sz="0" w:space="0" w:color="auto"/>
      </w:divBdr>
    </w:div>
    <w:div w:id="255673156">
      <w:bodyDiv w:val="1"/>
      <w:marLeft w:val="0"/>
      <w:marRight w:val="0"/>
      <w:marTop w:val="0"/>
      <w:marBottom w:val="0"/>
      <w:divBdr>
        <w:top w:val="none" w:sz="0" w:space="0" w:color="auto"/>
        <w:left w:val="none" w:sz="0" w:space="0" w:color="auto"/>
        <w:bottom w:val="none" w:sz="0" w:space="0" w:color="auto"/>
        <w:right w:val="none" w:sz="0" w:space="0" w:color="auto"/>
      </w:divBdr>
      <w:divsChild>
        <w:div w:id="776675384">
          <w:marLeft w:val="0"/>
          <w:marRight w:val="0"/>
          <w:marTop w:val="0"/>
          <w:marBottom w:val="0"/>
          <w:divBdr>
            <w:top w:val="none" w:sz="0" w:space="0" w:color="auto"/>
            <w:left w:val="none" w:sz="0" w:space="0" w:color="auto"/>
            <w:bottom w:val="none" w:sz="0" w:space="0" w:color="auto"/>
            <w:right w:val="none" w:sz="0" w:space="0" w:color="auto"/>
          </w:divBdr>
        </w:div>
        <w:div w:id="868034556">
          <w:blockQuote w:val="1"/>
          <w:marLeft w:val="0"/>
          <w:marRight w:val="0"/>
          <w:marTop w:val="0"/>
          <w:marBottom w:val="0"/>
          <w:divBdr>
            <w:top w:val="none" w:sz="0" w:space="0" w:color="auto"/>
            <w:left w:val="single" w:sz="6" w:space="9" w:color="CCD5E1"/>
            <w:bottom w:val="none" w:sz="0" w:space="0" w:color="auto"/>
            <w:right w:val="none" w:sz="0" w:space="0" w:color="auto"/>
          </w:divBdr>
          <w:divsChild>
            <w:div w:id="1002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91499">
      <w:bodyDiv w:val="1"/>
      <w:marLeft w:val="0"/>
      <w:marRight w:val="0"/>
      <w:marTop w:val="0"/>
      <w:marBottom w:val="0"/>
      <w:divBdr>
        <w:top w:val="none" w:sz="0" w:space="0" w:color="auto"/>
        <w:left w:val="none" w:sz="0" w:space="0" w:color="auto"/>
        <w:bottom w:val="none" w:sz="0" w:space="0" w:color="auto"/>
        <w:right w:val="none" w:sz="0" w:space="0" w:color="auto"/>
      </w:divBdr>
      <w:divsChild>
        <w:div w:id="688600230">
          <w:marLeft w:val="0"/>
          <w:marRight w:val="0"/>
          <w:marTop w:val="0"/>
          <w:marBottom w:val="0"/>
          <w:divBdr>
            <w:top w:val="none" w:sz="0" w:space="0" w:color="auto"/>
            <w:left w:val="none" w:sz="0" w:space="0" w:color="auto"/>
            <w:bottom w:val="none" w:sz="0" w:space="0" w:color="auto"/>
            <w:right w:val="none" w:sz="0" w:space="0" w:color="auto"/>
          </w:divBdr>
        </w:div>
        <w:div w:id="707753779">
          <w:blockQuote w:val="1"/>
          <w:marLeft w:val="0"/>
          <w:marRight w:val="0"/>
          <w:marTop w:val="0"/>
          <w:marBottom w:val="0"/>
          <w:divBdr>
            <w:top w:val="none" w:sz="0" w:space="0" w:color="auto"/>
            <w:left w:val="single" w:sz="6" w:space="9" w:color="CCD5E1"/>
            <w:bottom w:val="none" w:sz="0" w:space="0" w:color="auto"/>
            <w:right w:val="none" w:sz="0" w:space="0" w:color="auto"/>
          </w:divBdr>
          <w:divsChild>
            <w:div w:id="14617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5921">
      <w:bodyDiv w:val="1"/>
      <w:marLeft w:val="0"/>
      <w:marRight w:val="0"/>
      <w:marTop w:val="0"/>
      <w:marBottom w:val="0"/>
      <w:divBdr>
        <w:top w:val="none" w:sz="0" w:space="0" w:color="auto"/>
        <w:left w:val="none" w:sz="0" w:space="0" w:color="auto"/>
        <w:bottom w:val="none" w:sz="0" w:space="0" w:color="auto"/>
        <w:right w:val="none" w:sz="0" w:space="0" w:color="auto"/>
      </w:divBdr>
    </w:div>
    <w:div w:id="288753700">
      <w:bodyDiv w:val="1"/>
      <w:marLeft w:val="0"/>
      <w:marRight w:val="0"/>
      <w:marTop w:val="0"/>
      <w:marBottom w:val="0"/>
      <w:divBdr>
        <w:top w:val="none" w:sz="0" w:space="0" w:color="auto"/>
        <w:left w:val="none" w:sz="0" w:space="0" w:color="auto"/>
        <w:bottom w:val="none" w:sz="0" w:space="0" w:color="auto"/>
        <w:right w:val="none" w:sz="0" w:space="0" w:color="auto"/>
      </w:divBdr>
    </w:div>
    <w:div w:id="304746641">
      <w:bodyDiv w:val="1"/>
      <w:marLeft w:val="0"/>
      <w:marRight w:val="0"/>
      <w:marTop w:val="0"/>
      <w:marBottom w:val="0"/>
      <w:divBdr>
        <w:top w:val="none" w:sz="0" w:space="0" w:color="auto"/>
        <w:left w:val="none" w:sz="0" w:space="0" w:color="auto"/>
        <w:bottom w:val="none" w:sz="0" w:space="0" w:color="auto"/>
        <w:right w:val="none" w:sz="0" w:space="0" w:color="auto"/>
      </w:divBdr>
    </w:div>
    <w:div w:id="350303340">
      <w:bodyDiv w:val="1"/>
      <w:marLeft w:val="0"/>
      <w:marRight w:val="0"/>
      <w:marTop w:val="0"/>
      <w:marBottom w:val="0"/>
      <w:divBdr>
        <w:top w:val="none" w:sz="0" w:space="0" w:color="auto"/>
        <w:left w:val="none" w:sz="0" w:space="0" w:color="auto"/>
        <w:bottom w:val="none" w:sz="0" w:space="0" w:color="auto"/>
        <w:right w:val="none" w:sz="0" w:space="0" w:color="auto"/>
      </w:divBdr>
    </w:div>
    <w:div w:id="371156057">
      <w:bodyDiv w:val="1"/>
      <w:marLeft w:val="0"/>
      <w:marRight w:val="0"/>
      <w:marTop w:val="0"/>
      <w:marBottom w:val="0"/>
      <w:divBdr>
        <w:top w:val="none" w:sz="0" w:space="0" w:color="auto"/>
        <w:left w:val="none" w:sz="0" w:space="0" w:color="auto"/>
        <w:bottom w:val="none" w:sz="0" w:space="0" w:color="auto"/>
        <w:right w:val="none" w:sz="0" w:space="0" w:color="auto"/>
      </w:divBdr>
    </w:div>
    <w:div w:id="382023030">
      <w:bodyDiv w:val="1"/>
      <w:marLeft w:val="0"/>
      <w:marRight w:val="0"/>
      <w:marTop w:val="0"/>
      <w:marBottom w:val="0"/>
      <w:divBdr>
        <w:top w:val="none" w:sz="0" w:space="0" w:color="auto"/>
        <w:left w:val="none" w:sz="0" w:space="0" w:color="auto"/>
        <w:bottom w:val="none" w:sz="0" w:space="0" w:color="auto"/>
        <w:right w:val="none" w:sz="0" w:space="0" w:color="auto"/>
      </w:divBdr>
    </w:div>
    <w:div w:id="383599063">
      <w:bodyDiv w:val="1"/>
      <w:marLeft w:val="0"/>
      <w:marRight w:val="0"/>
      <w:marTop w:val="0"/>
      <w:marBottom w:val="0"/>
      <w:divBdr>
        <w:top w:val="none" w:sz="0" w:space="0" w:color="auto"/>
        <w:left w:val="none" w:sz="0" w:space="0" w:color="auto"/>
        <w:bottom w:val="none" w:sz="0" w:space="0" w:color="auto"/>
        <w:right w:val="none" w:sz="0" w:space="0" w:color="auto"/>
      </w:divBdr>
    </w:div>
    <w:div w:id="406071663">
      <w:bodyDiv w:val="1"/>
      <w:marLeft w:val="0"/>
      <w:marRight w:val="0"/>
      <w:marTop w:val="0"/>
      <w:marBottom w:val="0"/>
      <w:divBdr>
        <w:top w:val="none" w:sz="0" w:space="0" w:color="auto"/>
        <w:left w:val="none" w:sz="0" w:space="0" w:color="auto"/>
        <w:bottom w:val="none" w:sz="0" w:space="0" w:color="auto"/>
        <w:right w:val="none" w:sz="0" w:space="0" w:color="auto"/>
      </w:divBdr>
      <w:divsChild>
        <w:div w:id="1969046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664851">
          <w:marLeft w:val="0"/>
          <w:marRight w:val="0"/>
          <w:marTop w:val="0"/>
          <w:marBottom w:val="0"/>
          <w:divBdr>
            <w:top w:val="none" w:sz="0" w:space="0" w:color="auto"/>
            <w:left w:val="none" w:sz="0" w:space="0" w:color="auto"/>
            <w:bottom w:val="none" w:sz="0" w:space="0" w:color="auto"/>
            <w:right w:val="none" w:sz="0" w:space="0" w:color="auto"/>
          </w:divBdr>
        </w:div>
        <w:div w:id="334499895">
          <w:marLeft w:val="0"/>
          <w:marRight w:val="0"/>
          <w:marTop w:val="0"/>
          <w:marBottom w:val="0"/>
          <w:divBdr>
            <w:top w:val="none" w:sz="0" w:space="0" w:color="auto"/>
            <w:left w:val="none" w:sz="0" w:space="0" w:color="auto"/>
            <w:bottom w:val="none" w:sz="0" w:space="0" w:color="auto"/>
            <w:right w:val="none" w:sz="0" w:space="0" w:color="auto"/>
          </w:divBdr>
        </w:div>
      </w:divsChild>
    </w:div>
    <w:div w:id="440951996">
      <w:bodyDiv w:val="1"/>
      <w:marLeft w:val="0"/>
      <w:marRight w:val="0"/>
      <w:marTop w:val="0"/>
      <w:marBottom w:val="0"/>
      <w:divBdr>
        <w:top w:val="none" w:sz="0" w:space="0" w:color="auto"/>
        <w:left w:val="none" w:sz="0" w:space="0" w:color="auto"/>
        <w:bottom w:val="none" w:sz="0" w:space="0" w:color="auto"/>
        <w:right w:val="none" w:sz="0" w:space="0" w:color="auto"/>
      </w:divBdr>
    </w:div>
    <w:div w:id="477697693">
      <w:bodyDiv w:val="1"/>
      <w:marLeft w:val="0"/>
      <w:marRight w:val="0"/>
      <w:marTop w:val="0"/>
      <w:marBottom w:val="0"/>
      <w:divBdr>
        <w:top w:val="none" w:sz="0" w:space="0" w:color="auto"/>
        <w:left w:val="none" w:sz="0" w:space="0" w:color="auto"/>
        <w:bottom w:val="none" w:sz="0" w:space="0" w:color="auto"/>
        <w:right w:val="none" w:sz="0" w:space="0" w:color="auto"/>
      </w:divBdr>
    </w:div>
    <w:div w:id="529728330">
      <w:bodyDiv w:val="1"/>
      <w:marLeft w:val="0"/>
      <w:marRight w:val="0"/>
      <w:marTop w:val="0"/>
      <w:marBottom w:val="0"/>
      <w:divBdr>
        <w:top w:val="none" w:sz="0" w:space="0" w:color="auto"/>
        <w:left w:val="none" w:sz="0" w:space="0" w:color="auto"/>
        <w:bottom w:val="none" w:sz="0" w:space="0" w:color="auto"/>
        <w:right w:val="none" w:sz="0" w:space="0" w:color="auto"/>
      </w:divBdr>
    </w:div>
    <w:div w:id="533272341">
      <w:bodyDiv w:val="1"/>
      <w:marLeft w:val="0"/>
      <w:marRight w:val="0"/>
      <w:marTop w:val="0"/>
      <w:marBottom w:val="0"/>
      <w:divBdr>
        <w:top w:val="none" w:sz="0" w:space="0" w:color="auto"/>
        <w:left w:val="none" w:sz="0" w:space="0" w:color="auto"/>
        <w:bottom w:val="none" w:sz="0" w:space="0" w:color="auto"/>
        <w:right w:val="none" w:sz="0" w:space="0" w:color="auto"/>
      </w:divBdr>
    </w:div>
    <w:div w:id="545798378">
      <w:bodyDiv w:val="1"/>
      <w:marLeft w:val="0"/>
      <w:marRight w:val="0"/>
      <w:marTop w:val="0"/>
      <w:marBottom w:val="0"/>
      <w:divBdr>
        <w:top w:val="none" w:sz="0" w:space="0" w:color="auto"/>
        <w:left w:val="none" w:sz="0" w:space="0" w:color="auto"/>
        <w:bottom w:val="none" w:sz="0" w:space="0" w:color="auto"/>
        <w:right w:val="none" w:sz="0" w:space="0" w:color="auto"/>
      </w:divBdr>
    </w:div>
    <w:div w:id="590511660">
      <w:bodyDiv w:val="1"/>
      <w:marLeft w:val="0"/>
      <w:marRight w:val="0"/>
      <w:marTop w:val="0"/>
      <w:marBottom w:val="0"/>
      <w:divBdr>
        <w:top w:val="none" w:sz="0" w:space="0" w:color="auto"/>
        <w:left w:val="none" w:sz="0" w:space="0" w:color="auto"/>
        <w:bottom w:val="none" w:sz="0" w:space="0" w:color="auto"/>
        <w:right w:val="none" w:sz="0" w:space="0" w:color="auto"/>
      </w:divBdr>
    </w:div>
    <w:div w:id="719479251">
      <w:bodyDiv w:val="1"/>
      <w:marLeft w:val="0"/>
      <w:marRight w:val="0"/>
      <w:marTop w:val="0"/>
      <w:marBottom w:val="0"/>
      <w:divBdr>
        <w:top w:val="none" w:sz="0" w:space="0" w:color="auto"/>
        <w:left w:val="none" w:sz="0" w:space="0" w:color="auto"/>
        <w:bottom w:val="none" w:sz="0" w:space="0" w:color="auto"/>
        <w:right w:val="none" w:sz="0" w:space="0" w:color="auto"/>
      </w:divBdr>
    </w:div>
    <w:div w:id="748307635">
      <w:bodyDiv w:val="1"/>
      <w:marLeft w:val="0"/>
      <w:marRight w:val="0"/>
      <w:marTop w:val="0"/>
      <w:marBottom w:val="0"/>
      <w:divBdr>
        <w:top w:val="none" w:sz="0" w:space="0" w:color="auto"/>
        <w:left w:val="none" w:sz="0" w:space="0" w:color="auto"/>
        <w:bottom w:val="none" w:sz="0" w:space="0" w:color="auto"/>
        <w:right w:val="none" w:sz="0" w:space="0" w:color="auto"/>
      </w:divBdr>
    </w:div>
    <w:div w:id="757867987">
      <w:bodyDiv w:val="1"/>
      <w:marLeft w:val="0"/>
      <w:marRight w:val="0"/>
      <w:marTop w:val="0"/>
      <w:marBottom w:val="0"/>
      <w:divBdr>
        <w:top w:val="none" w:sz="0" w:space="0" w:color="auto"/>
        <w:left w:val="none" w:sz="0" w:space="0" w:color="auto"/>
        <w:bottom w:val="none" w:sz="0" w:space="0" w:color="auto"/>
        <w:right w:val="none" w:sz="0" w:space="0" w:color="auto"/>
      </w:divBdr>
      <w:divsChild>
        <w:div w:id="729425366">
          <w:blockQuote w:val="1"/>
          <w:marLeft w:val="720"/>
          <w:marRight w:val="720"/>
          <w:marTop w:val="100"/>
          <w:marBottom w:val="100"/>
          <w:divBdr>
            <w:top w:val="none" w:sz="0" w:space="0" w:color="auto"/>
            <w:left w:val="none" w:sz="0" w:space="0" w:color="auto"/>
            <w:bottom w:val="none" w:sz="0" w:space="0" w:color="auto"/>
            <w:right w:val="none" w:sz="0" w:space="0" w:color="auto"/>
          </w:divBdr>
        </w:div>
        <w:div w:id="250239209">
          <w:marLeft w:val="0"/>
          <w:marRight w:val="0"/>
          <w:marTop w:val="0"/>
          <w:marBottom w:val="0"/>
          <w:divBdr>
            <w:top w:val="none" w:sz="0" w:space="0" w:color="auto"/>
            <w:left w:val="none" w:sz="0" w:space="0" w:color="auto"/>
            <w:bottom w:val="none" w:sz="0" w:space="0" w:color="auto"/>
            <w:right w:val="none" w:sz="0" w:space="0" w:color="auto"/>
          </w:divBdr>
        </w:div>
        <w:div w:id="380177108">
          <w:marLeft w:val="0"/>
          <w:marRight w:val="0"/>
          <w:marTop w:val="0"/>
          <w:marBottom w:val="0"/>
          <w:divBdr>
            <w:top w:val="none" w:sz="0" w:space="0" w:color="auto"/>
            <w:left w:val="none" w:sz="0" w:space="0" w:color="auto"/>
            <w:bottom w:val="none" w:sz="0" w:space="0" w:color="auto"/>
            <w:right w:val="none" w:sz="0" w:space="0" w:color="auto"/>
          </w:divBdr>
        </w:div>
      </w:divsChild>
    </w:div>
    <w:div w:id="797069034">
      <w:bodyDiv w:val="1"/>
      <w:marLeft w:val="0"/>
      <w:marRight w:val="0"/>
      <w:marTop w:val="0"/>
      <w:marBottom w:val="0"/>
      <w:divBdr>
        <w:top w:val="none" w:sz="0" w:space="0" w:color="auto"/>
        <w:left w:val="none" w:sz="0" w:space="0" w:color="auto"/>
        <w:bottom w:val="none" w:sz="0" w:space="0" w:color="auto"/>
        <w:right w:val="none" w:sz="0" w:space="0" w:color="auto"/>
      </w:divBdr>
    </w:div>
    <w:div w:id="817112370">
      <w:bodyDiv w:val="1"/>
      <w:marLeft w:val="0"/>
      <w:marRight w:val="0"/>
      <w:marTop w:val="0"/>
      <w:marBottom w:val="0"/>
      <w:divBdr>
        <w:top w:val="none" w:sz="0" w:space="0" w:color="auto"/>
        <w:left w:val="none" w:sz="0" w:space="0" w:color="auto"/>
        <w:bottom w:val="none" w:sz="0" w:space="0" w:color="auto"/>
        <w:right w:val="none" w:sz="0" w:space="0" w:color="auto"/>
      </w:divBdr>
    </w:div>
    <w:div w:id="896163285">
      <w:bodyDiv w:val="1"/>
      <w:marLeft w:val="0"/>
      <w:marRight w:val="0"/>
      <w:marTop w:val="0"/>
      <w:marBottom w:val="0"/>
      <w:divBdr>
        <w:top w:val="none" w:sz="0" w:space="0" w:color="auto"/>
        <w:left w:val="none" w:sz="0" w:space="0" w:color="auto"/>
        <w:bottom w:val="none" w:sz="0" w:space="0" w:color="auto"/>
        <w:right w:val="none" w:sz="0" w:space="0" w:color="auto"/>
      </w:divBdr>
    </w:div>
    <w:div w:id="994450084">
      <w:bodyDiv w:val="1"/>
      <w:marLeft w:val="0"/>
      <w:marRight w:val="0"/>
      <w:marTop w:val="0"/>
      <w:marBottom w:val="0"/>
      <w:divBdr>
        <w:top w:val="none" w:sz="0" w:space="0" w:color="auto"/>
        <w:left w:val="none" w:sz="0" w:space="0" w:color="auto"/>
        <w:bottom w:val="none" w:sz="0" w:space="0" w:color="auto"/>
        <w:right w:val="none" w:sz="0" w:space="0" w:color="auto"/>
      </w:divBdr>
    </w:div>
    <w:div w:id="1020276003">
      <w:bodyDiv w:val="1"/>
      <w:marLeft w:val="0"/>
      <w:marRight w:val="0"/>
      <w:marTop w:val="0"/>
      <w:marBottom w:val="0"/>
      <w:divBdr>
        <w:top w:val="none" w:sz="0" w:space="0" w:color="auto"/>
        <w:left w:val="none" w:sz="0" w:space="0" w:color="auto"/>
        <w:bottom w:val="none" w:sz="0" w:space="0" w:color="auto"/>
        <w:right w:val="none" w:sz="0" w:space="0" w:color="auto"/>
      </w:divBdr>
    </w:div>
    <w:div w:id="1041394296">
      <w:bodyDiv w:val="1"/>
      <w:marLeft w:val="0"/>
      <w:marRight w:val="0"/>
      <w:marTop w:val="0"/>
      <w:marBottom w:val="0"/>
      <w:divBdr>
        <w:top w:val="none" w:sz="0" w:space="0" w:color="auto"/>
        <w:left w:val="none" w:sz="0" w:space="0" w:color="auto"/>
        <w:bottom w:val="none" w:sz="0" w:space="0" w:color="auto"/>
        <w:right w:val="none" w:sz="0" w:space="0" w:color="auto"/>
      </w:divBdr>
    </w:div>
    <w:div w:id="1053850768">
      <w:bodyDiv w:val="1"/>
      <w:marLeft w:val="0"/>
      <w:marRight w:val="0"/>
      <w:marTop w:val="0"/>
      <w:marBottom w:val="0"/>
      <w:divBdr>
        <w:top w:val="none" w:sz="0" w:space="0" w:color="auto"/>
        <w:left w:val="none" w:sz="0" w:space="0" w:color="auto"/>
        <w:bottom w:val="none" w:sz="0" w:space="0" w:color="auto"/>
        <w:right w:val="none" w:sz="0" w:space="0" w:color="auto"/>
      </w:divBdr>
    </w:div>
    <w:div w:id="1232887507">
      <w:bodyDiv w:val="1"/>
      <w:marLeft w:val="0"/>
      <w:marRight w:val="0"/>
      <w:marTop w:val="0"/>
      <w:marBottom w:val="0"/>
      <w:divBdr>
        <w:top w:val="none" w:sz="0" w:space="0" w:color="auto"/>
        <w:left w:val="none" w:sz="0" w:space="0" w:color="auto"/>
        <w:bottom w:val="none" w:sz="0" w:space="0" w:color="auto"/>
        <w:right w:val="none" w:sz="0" w:space="0" w:color="auto"/>
      </w:divBdr>
    </w:div>
    <w:div w:id="1301884228">
      <w:bodyDiv w:val="1"/>
      <w:marLeft w:val="0"/>
      <w:marRight w:val="0"/>
      <w:marTop w:val="0"/>
      <w:marBottom w:val="0"/>
      <w:divBdr>
        <w:top w:val="none" w:sz="0" w:space="0" w:color="auto"/>
        <w:left w:val="none" w:sz="0" w:space="0" w:color="auto"/>
        <w:bottom w:val="none" w:sz="0" w:space="0" w:color="auto"/>
        <w:right w:val="none" w:sz="0" w:space="0" w:color="auto"/>
      </w:divBdr>
    </w:div>
    <w:div w:id="1397625586">
      <w:bodyDiv w:val="1"/>
      <w:marLeft w:val="0"/>
      <w:marRight w:val="0"/>
      <w:marTop w:val="0"/>
      <w:marBottom w:val="0"/>
      <w:divBdr>
        <w:top w:val="none" w:sz="0" w:space="0" w:color="auto"/>
        <w:left w:val="none" w:sz="0" w:space="0" w:color="auto"/>
        <w:bottom w:val="none" w:sz="0" w:space="0" w:color="auto"/>
        <w:right w:val="none" w:sz="0" w:space="0" w:color="auto"/>
      </w:divBdr>
    </w:div>
    <w:div w:id="1412433600">
      <w:bodyDiv w:val="1"/>
      <w:marLeft w:val="0"/>
      <w:marRight w:val="0"/>
      <w:marTop w:val="0"/>
      <w:marBottom w:val="0"/>
      <w:divBdr>
        <w:top w:val="none" w:sz="0" w:space="0" w:color="auto"/>
        <w:left w:val="none" w:sz="0" w:space="0" w:color="auto"/>
        <w:bottom w:val="none" w:sz="0" w:space="0" w:color="auto"/>
        <w:right w:val="none" w:sz="0" w:space="0" w:color="auto"/>
      </w:divBdr>
      <w:divsChild>
        <w:div w:id="985085121">
          <w:marLeft w:val="0"/>
          <w:marRight w:val="0"/>
          <w:marTop w:val="0"/>
          <w:marBottom w:val="0"/>
          <w:divBdr>
            <w:top w:val="none" w:sz="0" w:space="0" w:color="auto"/>
            <w:left w:val="none" w:sz="0" w:space="0" w:color="auto"/>
            <w:bottom w:val="none" w:sz="0" w:space="0" w:color="auto"/>
            <w:right w:val="none" w:sz="0" w:space="0" w:color="auto"/>
          </w:divBdr>
        </w:div>
        <w:div w:id="950553751">
          <w:blockQuote w:val="1"/>
          <w:marLeft w:val="0"/>
          <w:marRight w:val="0"/>
          <w:marTop w:val="0"/>
          <w:marBottom w:val="0"/>
          <w:divBdr>
            <w:top w:val="none" w:sz="0" w:space="0" w:color="auto"/>
            <w:left w:val="single" w:sz="6" w:space="9" w:color="CCD5E1"/>
            <w:bottom w:val="none" w:sz="0" w:space="0" w:color="auto"/>
            <w:right w:val="none" w:sz="0" w:space="0" w:color="auto"/>
          </w:divBdr>
          <w:divsChild>
            <w:div w:id="18183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39570">
      <w:bodyDiv w:val="1"/>
      <w:marLeft w:val="0"/>
      <w:marRight w:val="0"/>
      <w:marTop w:val="0"/>
      <w:marBottom w:val="0"/>
      <w:divBdr>
        <w:top w:val="none" w:sz="0" w:space="0" w:color="auto"/>
        <w:left w:val="none" w:sz="0" w:space="0" w:color="auto"/>
        <w:bottom w:val="none" w:sz="0" w:space="0" w:color="auto"/>
        <w:right w:val="none" w:sz="0" w:space="0" w:color="auto"/>
      </w:divBdr>
    </w:div>
    <w:div w:id="1538421354">
      <w:bodyDiv w:val="1"/>
      <w:marLeft w:val="0"/>
      <w:marRight w:val="0"/>
      <w:marTop w:val="0"/>
      <w:marBottom w:val="0"/>
      <w:divBdr>
        <w:top w:val="none" w:sz="0" w:space="0" w:color="auto"/>
        <w:left w:val="none" w:sz="0" w:space="0" w:color="auto"/>
        <w:bottom w:val="none" w:sz="0" w:space="0" w:color="auto"/>
        <w:right w:val="none" w:sz="0" w:space="0" w:color="auto"/>
      </w:divBdr>
    </w:div>
    <w:div w:id="1538934402">
      <w:bodyDiv w:val="1"/>
      <w:marLeft w:val="0"/>
      <w:marRight w:val="0"/>
      <w:marTop w:val="0"/>
      <w:marBottom w:val="0"/>
      <w:divBdr>
        <w:top w:val="none" w:sz="0" w:space="0" w:color="auto"/>
        <w:left w:val="none" w:sz="0" w:space="0" w:color="auto"/>
        <w:bottom w:val="none" w:sz="0" w:space="0" w:color="auto"/>
        <w:right w:val="none" w:sz="0" w:space="0" w:color="auto"/>
      </w:divBdr>
    </w:div>
    <w:div w:id="1576433545">
      <w:bodyDiv w:val="1"/>
      <w:marLeft w:val="0"/>
      <w:marRight w:val="0"/>
      <w:marTop w:val="0"/>
      <w:marBottom w:val="0"/>
      <w:divBdr>
        <w:top w:val="none" w:sz="0" w:space="0" w:color="auto"/>
        <w:left w:val="none" w:sz="0" w:space="0" w:color="auto"/>
        <w:bottom w:val="none" w:sz="0" w:space="0" w:color="auto"/>
        <w:right w:val="none" w:sz="0" w:space="0" w:color="auto"/>
      </w:divBdr>
    </w:div>
    <w:div w:id="1594360648">
      <w:bodyDiv w:val="1"/>
      <w:marLeft w:val="0"/>
      <w:marRight w:val="0"/>
      <w:marTop w:val="0"/>
      <w:marBottom w:val="0"/>
      <w:divBdr>
        <w:top w:val="none" w:sz="0" w:space="0" w:color="auto"/>
        <w:left w:val="none" w:sz="0" w:space="0" w:color="auto"/>
        <w:bottom w:val="none" w:sz="0" w:space="0" w:color="auto"/>
        <w:right w:val="none" w:sz="0" w:space="0" w:color="auto"/>
      </w:divBdr>
      <w:divsChild>
        <w:div w:id="1557156147">
          <w:marLeft w:val="0"/>
          <w:marRight w:val="0"/>
          <w:marTop w:val="0"/>
          <w:marBottom w:val="0"/>
          <w:divBdr>
            <w:top w:val="none" w:sz="0" w:space="0" w:color="auto"/>
            <w:left w:val="none" w:sz="0" w:space="0" w:color="auto"/>
            <w:bottom w:val="none" w:sz="0" w:space="0" w:color="auto"/>
            <w:right w:val="none" w:sz="0" w:space="0" w:color="auto"/>
          </w:divBdr>
        </w:div>
      </w:divsChild>
    </w:div>
    <w:div w:id="1707489579">
      <w:bodyDiv w:val="1"/>
      <w:marLeft w:val="0"/>
      <w:marRight w:val="0"/>
      <w:marTop w:val="0"/>
      <w:marBottom w:val="0"/>
      <w:divBdr>
        <w:top w:val="none" w:sz="0" w:space="0" w:color="auto"/>
        <w:left w:val="none" w:sz="0" w:space="0" w:color="auto"/>
        <w:bottom w:val="none" w:sz="0" w:space="0" w:color="auto"/>
        <w:right w:val="none" w:sz="0" w:space="0" w:color="auto"/>
      </w:divBdr>
    </w:div>
    <w:div w:id="1786578783">
      <w:bodyDiv w:val="1"/>
      <w:marLeft w:val="0"/>
      <w:marRight w:val="0"/>
      <w:marTop w:val="0"/>
      <w:marBottom w:val="0"/>
      <w:divBdr>
        <w:top w:val="none" w:sz="0" w:space="0" w:color="auto"/>
        <w:left w:val="none" w:sz="0" w:space="0" w:color="auto"/>
        <w:bottom w:val="none" w:sz="0" w:space="0" w:color="auto"/>
        <w:right w:val="none" w:sz="0" w:space="0" w:color="auto"/>
      </w:divBdr>
    </w:div>
    <w:div w:id="1796607018">
      <w:bodyDiv w:val="1"/>
      <w:marLeft w:val="0"/>
      <w:marRight w:val="0"/>
      <w:marTop w:val="0"/>
      <w:marBottom w:val="0"/>
      <w:divBdr>
        <w:top w:val="none" w:sz="0" w:space="0" w:color="auto"/>
        <w:left w:val="none" w:sz="0" w:space="0" w:color="auto"/>
        <w:bottom w:val="none" w:sz="0" w:space="0" w:color="auto"/>
        <w:right w:val="none" w:sz="0" w:space="0" w:color="auto"/>
      </w:divBdr>
    </w:div>
    <w:div w:id="1796630204">
      <w:bodyDiv w:val="1"/>
      <w:marLeft w:val="0"/>
      <w:marRight w:val="0"/>
      <w:marTop w:val="0"/>
      <w:marBottom w:val="0"/>
      <w:divBdr>
        <w:top w:val="none" w:sz="0" w:space="0" w:color="auto"/>
        <w:left w:val="none" w:sz="0" w:space="0" w:color="auto"/>
        <w:bottom w:val="none" w:sz="0" w:space="0" w:color="auto"/>
        <w:right w:val="none" w:sz="0" w:space="0" w:color="auto"/>
      </w:divBdr>
      <w:divsChild>
        <w:div w:id="440999830">
          <w:marLeft w:val="0"/>
          <w:marRight w:val="0"/>
          <w:marTop w:val="0"/>
          <w:marBottom w:val="0"/>
          <w:divBdr>
            <w:top w:val="none" w:sz="0" w:space="0" w:color="auto"/>
            <w:left w:val="none" w:sz="0" w:space="0" w:color="auto"/>
            <w:bottom w:val="none" w:sz="0" w:space="0" w:color="auto"/>
            <w:right w:val="none" w:sz="0" w:space="0" w:color="auto"/>
          </w:divBdr>
        </w:div>
        <w:div w:id="450248838">
          <w:blockQuote w:val="1"/>
          <w:marLeft w:val="0"/>
          <w:marRight w:val="0"/>
          <w:marTop w:val="0"/>
          <w:marBottom w:val="0"/>
          <w:divBdr>
            <w:top w:val="none" w:sz="0" w:space="0" w:color="auto"/>
            <w:left w:val="single" w:sz="6" w:space="9" w:color="CCD5E1"/>
            <w:bottom w:val="none" w:sz="0" w:space="0" w:color="auto"/>
            <w:right w:val="none" w:sz="0" w:space="0" w:color="auto"/>
          </w:divBdr>
          <w:divsChild>
            <w:div w:id="117703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41299">
      <w:bodyDiv w:val="1"/>
      <w:marLeft w:val="0"/>
      <w:marRight w:val="0"/>
      <w:marTop w:val="0"/>
      <w:marBottom w:val="0"/>
      <w:divBdr>
        <w:top w:val="none" w:sz="0" w:space="0" w:color="auto"/>
        <w:left w:val="none" w:sz="0" w:space="0" w:color="auto"/>
        <w:bottom w:val="none" w:sz="0" w:space="0" w:color="auto"/>
        <w:right w:val="none" w:sz="0" w:space="0" w:color="auto"/>
      </w:divBdr>
    </w:div>
    <w:div w:id="2049183050">
      <w:bodyDiv w:val="1"/>
      <w:marLeft w:val="0"/>
      <w:marRight w:val="0"/>
      <w:marTop w:val="0"/>
      <w:marBottom w:val="0"/>
      <w:divBdr>
        <w:top w:val="none" w:sz="0" w:space="0" w:color="auto"/>
        <w:left w:val="none" w:sz="0" w:space="0" w:color="auto"/>
        <w:bottom w:val="none" w:sz="0" w:space="0" w:color="auto"/>
        <w:right w:val="none" w:sz="0" w:space="0" w:color="auto"/>
      </w:divBdr>
    </w:div>
    <w:div w:id="2054500010">
      <w:bodyDiv w:val="1"/>
      <w:marLeft w:val="0"/>
      <w:marRight w:val="0"/>
      <w:marTop w:val="0"/>
      <w:marBottom w:val="0"/>
      <w:divBdr>
        <w:top w:val="none" w:sz="0" w:space="0" w:color="auto"/>
        <w:left w:val="none" w:sz="0" w:space="0" w:color="auto"/>
        <w:bottom w:val="none" w:sz="0" w:space="0" w:color="auto"/>
        <w:right w:val="none" w:sz="0" w:space="0" w:color="auto"/>
      </w:divBdr>
    </w:div>
    <w:div w:id="2055349745">
      <w:bodyDiv w:val="1"/>
      <w:marLeft w:val="0"/>
      <w:marRight w:val="0"/>
      <w:marTop w:val="0"/>
      <w:marBottom w:val="0"/>
      <w:divBdr>
        <w:top w:val="none" w:sz="0" w:space="0" w:color="auto"/>
        <w:left w:val="none" w:sz="0" w:space="0" w:color="auto"/>
        <w:bottom w:val="none" w:sz="0" w:space="0" w:color="auto"/>
        <w:right w:val="none" w:sz="0" w:space="0" w:color="auto"/>
      </w:divBdr>
    </w:div>
    <w:div w:id="2142573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1067</TotalTime>
  <Pages>14</Pages>
  <Words>4275</Words>
  <Characters>24825</Characters>
  <Application>Microsoft Office Word</Application>
  <DocSecurity>0</DocSecurity>
  <Lines>487</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OLIVEIRA DA COSTA</dc:creator>
  <cp:keywords/>
  <dc:description/>
  <cp:lastModifiedBy>Antônio Uemerson de Carvalho</cp:lastModifiedBy>
  <cp:revision>484</cp:revision>
  <cp:lastPrinted>2025-03-20T12:23:00Z</cp:lastPrinted>
  <dcterms:created xsi:type="dcterms:W3CDTF">2025-03-19T21:29:00Z</dcterms:created>
  <dcterms:modified xsi:type="dcterms:W3CDTF">2026-01-14T13:55:00Z</dcterms:modified>
</cp:coreProperties>
</file>