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C2B0" w14:textId="306F4640" w:rsidR="00720DE1" w:rsidRDefault="00D9755D" w:rsidP="00720DE1">
      <w:pPr>
        <w:ind w:firstLine="0"/>
        <w:rPr>
          <w:b/>
          <w:bCs/>
        </w:rPr>
      </w:pPr>
      <w:r w:rsidRPr="00D9755D">
        <w:rPr>
          <w:b/>
          <w:bCs/>
        </w:rPr>
        <w:t>AO JUÍZO</w:t>
      </w:r>
      <w:r w:rsidR="00572348">
        <w:rPr>
          <w:b/>
          <w:bCs/>
        </w:rPr>
        <w:t xml:space="preserve"> DA {{ VARA_E_COMARCA }}</w:t>
      </w:r>
    </w:p>
    <w:p w14:paraId="3A3C7873" w14:textId="77777777" w:rsidR="00D9755D" w:rsidRPr="00D9755D" w:rsidRDefault="00D9755D" w:rsidP="00720DE1">
      <w:pPr>
        <w:ind w:firstLine="0"/>
        <w:rPr>
          <w:b/>
          <w:bCs/>
        </w:rPr>
      </w:pPr>
    </w:p>
    <w:p w14:paraId="6D572976" w14:textId="407235E2" w:rsidR="00720DE1" w:rsidRPr="00720DE1" w:rsidRDefault="00720DE1" w:rsidP="00720DE1">
      <w:pPr>
        <w:ind w:firstLine="0"/>
        <w:jc w:val="left"/>
        <w:rPr>
          <w:i/>
          <w:iCs/>
        </w:rPr>
      </w:pPr>
      <w:r w:rsidRPr="00720DE1">
        <w:rPr>
          <w:i/>
          <w:iCs/>
        </w:rPr>
        <w:t xml:space="preserve">Processo nº: </w:t>
      </w:r>
      <w:r w:rsidR="00D9755D">
        <w:rPr>
          <w:i/>
          <w:iCs/>
        </w:rPr>
        <w:t>{{ numero_processo }}</w:t>
      </w:r>
      <w:r w:rsidRPr="00720DE1">
        <w:rPr>
          <w:i/>
          <w:iCs/>
        </w:rPr>
        <w:br/>
        <w:t xml:space="preserve">Autor: </w:t>
      </w:r>
      <w:r w:rsidR="00D9755D">
        <w:rPr>
          <w:i/>
          <w:iCs/>
        </w:rPr>
        <w:t xml:space="preserve"> {{ nome_autor }}</w:t>
      </w:r>
    </w:p>
    <w:p w14:paraId="1A98A0E3" w14:textId="77777777" w:rsidR="00720DE1" w:rsidRDefault="00720DE1" w:rsidP="00720DE1">
      <w:pPr>
        <w:ind w:firstLine="0"/>
      </w:pPr>
    </w:p>
    <w:p w14:paraId="3D187E95" w14:textId="164F3B39" w:rsidR="00572348" w:rsidRPr="00720DE1" w:rsidRDefault="00720DE1" w:rsidP="00720DE1">
      <w:pPr>
        <w:ind w:firstLine="0"/>
      </w:pPr>
      <w:r>
        <w:tab/>
      </w:r>
      <w:r w:rsidR="00572348" w:rsidRPr="00572348">
        <w:rPr>
          <w:b/>
          <w:bCs/>
        </w:rPr>
        <w:t>BANCO MASTER S/A</w:t>
      </w:r>
      <w:r w:rsidR="00572348" w:rsidRPr="00572348">
        <w:t xml:space="preserve"> (atual denominação do Banco Máxima S/A), com sede na Rua Praia de Botafogo, nº. 228, sala 1.702, Edifício Argentina, Botafogo, Rio de Janeiro – RJ, CEP 22.250-906, inscrita no CNPJ/MF sob o n.º 33.923.798/0001-00, neste ato, devidamente representada na forma de seu Estatuto Social, por seus representantes legais infra-assinados, doravante denominados, por conduto de seus advogados constituídos nos termos do instrumento de mandato em anexo, que os qualifica e indica endereço profissional para fins de comunicação</w:t>
      </w:r>
      <w:r w:rsidR="00572348">
        <w:t xml:space="preserve">, vem oferecer </w:t>
      </w:r>
      <w:r w:rsidR="00572348" w:rsidRPr="00572348">
        <w:rPr>
          <w:b/>
          <w:bCs/>
        </w:rPr>
        <w:t>CONTESTAÇÃO</w:t>
      </w:r>
      <w:r w:rsidR="00572348">
        <w:rPr>
          <w:b/>
          <w:bCs/>
        </w:rPr>
        <w:t xml:space="preserve"> </w:t>
      </w:r>
      <w:r w:rsidR="00572348" w:rsidRPr="00572348">
        <w:t>nos termos que seguem.</w:t>
      </w:r>
    </w:p>
    <w:p w14:paraId="48E11688" w14:textId="2006ACDA" w:rsidR="00720DE1" w:rsidRPr="00720DE1" w:rsidRDefault="00115A07" w:rsidP="00720DE1">
      <w:pPr>
        <w:ind w:firstLine="0"/>
        <w:rPr>
          <w:b/>
          <w:bCs/>
        </w:rPr>
      </w:pPr>
      <w:r w:rsidRPr="00115A07">
        <w:rPr>
          <w:b/>
          <w:bCs/>
        </w:rPr>
        <w:t xml:space="preserve">{% if </w:t>
      </w:r>
      <w:r>
        <w:rPr>
          <w:b/>
          <w:bCs/>
        </w:rPr>
        <w:t>preliminares</w:t>
      </w:r>
      <w:r w:rsidRPr="00115A07">
        <w:rPr>
          <w:b/>
          <w:bCs/>
        </w:rPr>
        <w:t xml:space="preserve"> %}</w:t>
      </w:r>
      <w:r>
        <w:rPr>
          <w:b/>
          <w:bCs/>
        </w:rPr>
        <w:t xml:space="preserve"> </w:t>
      </w:r>
      <w:r w:rsidR="00720DE1" w:rsidRPr="00720DE1">
        <w:rPr>
          <w:b/>
          <w:bCs/>
        </w:rPr>
        <w:t xml:space="preserve">I – </w:t>
      </w:r>
      <w:r w:rsidR="00572348">
        <w:rPr>
          <w:b/>
          <w:bCs/>
        </w:rPr>
        <w:t>PRELIMINARES</w:t>
      </w:r>
      <w:r>
        <w:rPr>
          <w:b/>
          <w:bCs/>
        </w:rPr>
        <w:t xml:space="preserve"> </w:t>
      </w:r>
    </w:p>
    <w:p w14:paraId="2E74C8BB" w14:textId="6F1A164D" w:rsidR="00572348" w:rsidRPr="00572348" w:rsidRDefault="00115A07" w:rsidP="00C664A3">
      <w:pPr>
        <w:pBdr>
          <w:bottom w:val="single" w:sz="4" w:space="1" w:color="auto"/>
        </w:pBdr>
        <w:ind w:firstLine="0"/>
        <w:rPr>
          <w:b/>
          <w:bCs/>
        </w:rPr>
      </w:pPr>
      <w:r w:rsidRPr="00115A07">
        <w:rPr>
          <w:b/>
          <w:bCs/>
        </w:rPr>
        <w:t>{% if justiça_gratuita %}</w:t>
      </w:r>
      <w:r>
        <w:rPr>
          <w:b/>
          <w:bCs/>
        </w:rPr>
        <w:t xml:space="preserve"> </w:t>
      </w:r>
      <w:r w:rsidR="00C664A3" w:rsidRPr="00572348">
        <w:rPr>
          <w:b/>
          <w:bCs/>
        </w:rPr>
        <w:t>DA ASSISTÊNCIA JUDICIÁRIA GRATUITA</w:t>
      </w:r>
      <w:r w:rsidR="00C664A3">
        <w:rPr>
          <w:b/>
          <w:bCs/>
        </w:rPr>
        <w:t>.</w:t>
      </w:r>
    </w:p>
    <w:p w14:paraId="4C605904" w14:textId="323ECE15" w:rsidR="00572348" w:rsidRDefault="00572348" w:rsidP="00572348">
      <w:pPr>
        <w:ind w:firstLine="708"/>
      </w:pPr>
      <w:r w:rsidRPr="00572348">
        <w:t xml:space="preserve">Descabimento Por fim, no que tange os pedidos preliminares, vem o Contestante impugnar a assistência judiciária requerida, o fazendo na presente peça, com base no art. 100, do Código de Processo Civil. </w:t>
      </w:r>
    </w:p>
    <w:p w14:paraId="75DE4D17" w14:textId="7AA17B64" w:rsidR="00572348" w:rsidRDefault="00572348" w:rsidP="00115A07">
      <w:pPr>
        <w:ind w:firstLine="708"/>
      </w:pPr>
      <w:r w:rsidRPr="00572348">
        <w:t xml:space="preserve">Em que pese declaração constante da peça inaugural, no sentido de não poder arcar com as custas processuais e demais encargos que o processo ofereça, certo é que a parte Acionante não comprova sua real e atual condição financeira, limitando-se a aduzir que não possui condições de arcar com as custas processuais. A simples alegação não é o bastante, segundo jurisprudência dos Tribunais, para que esteja apta a parte a gozar dos benefícios da Assistência Judiciária, como ela mesma pretende. </w:t>
      </w:r>
    </w:p>
    <w:p w14:paraId="5EFC43AA" w14:textId="77777777" w:rsidR="00115A07" w:rsidRDefault="00115A07" w:rsidP="00115A07">
      <w:pPr>
        <w:ind w:firstLine="708"/>
      </w:pPr>
      <w:r w:rsidRPr="00115A07">
        <w:t xml:space="preserve">Não basta que a parte comprove sua renda; é necessário, também, que demonstre encargos próprios e da família, de modo a efetivamente demonstrar sua condição de hipossuficiência, sob pena de ver-se reformada a decisão concessiva. Outro não é o entendimento do Superior Tribunal de Justiça, conforme jurisprudência colacionada, sobre a matéria ementada: </w:t>
      </w:r>
    </w:p>
    <w:p w14:paraId="0ED91A8F" w14:textId="4CF6926F" w:rsidR="00115A07" w:rsidRDefault="00115A07" w:rsidP="00115A07">
      <w:pPr>
        <w:ind w:left="2268" w:firstLine="0"/>
      </w:pPr>
      <w:r w:rsidRPr="00115A07">
        <w:t>Ementa Agravo regimental. Justiça gratuita. A parte que requer o benefício da assistência judiciária gratuita goza, em tese, de presunção de pobreza, que, entretanto, poderá ser elidida por prova em contrário.</w:t>
      </w:r>
      <w:r>
        <w:t xml:space="preserve"> </w:t>
      </w:r>
      <w:r w:rsidRPr="00115A07">
        <w:t xml:space="preserve">AGA 272675 / SP ; AGRAVO REGIMENTAL NO AGRAVO </w:t>
      </w:r>
      <w:r w:rsidRPr="00115A07">
        <w:lastRenderedPageBreak/>
        <w:t>DE INSTRUMENTO 1999/0105383-8 Fonte DJ DATA:21/08/2000 PG:00130 Relator</w:t>
      </w:r>
      <w:r>
        <w:t xml:space="preserve"> </w:t>
      </w:r>
      <w:r w:rsidRPr="00115A07">
        <w:t>Min. EDUARDO RIBEIRO (1015)</w:t>
      </w:r>
    </w:p>
    <w:p w14:paraId="626BC538" w14:textId="19C7E258" w:rsidR="00115A07" w:rsidRDefault="00115A07" w:rsidP="00115A07">
      <w:pPr>
        <w:ind w:firstLine="708"/>
      </w:pPr>
      <w:r w:rsidRPr="00115A07">
        <w:t>Ante o exposto, razão não há para que seja a Autora beneficiada pelo disposto no art. 98, CPC; em assim sendo, requer que seja revogada a decisão que concedeu a assistência judiciária gratuita, condenando-a a arcar com todos os encargos processuais devidos, inclusive intimando-o para pagar as custas referentes à propositura da demanda, sob pena de cancelamento da distribuição. Se assim não entender o juízo, pede seja determinado o parcelamento das despesas processuais valor, com base no art. 98, §6º, CPC.</w:t>
      </w:r>
      <w:r>
        <w:t xml:space="preserve"> </w:t>
      </w:r>
      <w:r w:rsidRPr="00115A07">
        <w:t>{% endif %}</w:t>
      </w:r>
      <w:r w:rsidR="00C664A3">
        <w:t xml:space="preserve"> </w:t>
      </w:r>
      <w:r w:rsidR="00C664A3" w:rsidRPr="00EE73BD">
        <w:t>{% endif %}</w:t>
      </w:r>
    </w:p>
    <w:p w14:paraId="0CD9C459" w14:textId="2663C02E" w:rsidR="00115A07" w:rsidRPr="00115A07" w:rsidRDefault="00115A07" w:rsidP="00115A07">
      <w:pPr>
        <w:pStyle w:val="PargrafodaLista"/>
        <w:numPr>
          <w:ilvl w:val="0"/>
          <w:numId w:val="8"/>
        </w:numPr>
        <w:pBdr>
          <w:bottom w:val="single" w:sz="4" w:space="1" w:color="auto"/>
        </w:pBdr>
        <w:ind w:left="0" w:firstLine="54"/>
        <w:rPr>
          <w:b/>
          <w:bCs/>
        </w:rPr>
      </w:pPr>
      <w:r>
        <w:rPr>
          <w:b/>
          <w:bCs/>
        </w:rPr>
        <w:t>DOS FATOS</w:t>
      </w:r>
    </w:p>
    <w:p w14:paraId="421222C1" w14:textId="77777777" w:rsidR="00115A07" w:rsidRDefault="00115A07" w:rsidP="00720DE1">
      <w:pPr>
        <w:ind w:firstLine="0"/>
      </w:pPr>
      <w:r w:rsidRPr="00115A07">
        <w:t>{{ dos_fatos }}</w:t>
      </w:r>
    </w:p>
    <w:p w14:paraId="65ADEC9F" w14:textId="14065FA1" w:rsidR="00115A07" w:rsidRPr="00115A07" w:rsidRDefault="00115A07" w:rsidP="00115A07">
      <w:pPr>
        <w:pStyle w:val="PargrafodaLista"/>
        <w:numPr>
          <w:ilvl w:val="0"/>
          <w:numId w:val="8"/>
        </w:numPr>
        <w:pBdr>
          <w:bottom w:val="single" w:sz="4" w:space="1" w:color="auto"/>
        </w:pBdr>
        <w:ind w:left="0" w:firstLine="0"/>
        <w:rPr>
          <w:b/>
          <w:bCs/>
        </w:rPr>
      </w:pPr>
      <w:r w:rsidRPr="00115A07">
        <w:rPr>
          <w:b/>
          <w:bCs/>
        </w:rPr>
        <w:t xml:space="preserve">CONTEXTO DO PRODUTO </w:t>
      </w:r>
      <w:r w:rsidR="00C664A3">
        <w:rPr>
          <w:b/>
          <w:bCs/>
        </w:rPr>
        <w:t>E REGULARIDADE DA OPERAÇÃO</w:t>
      </w:r>
    </w:p>
    <w:p w14:paraId="40C997F5" w14:textId="26AD5FED" w:rsidR="00115A07" w:rsidRDefault="00115A07" w:rsidP="00115A07">
      <w:pPr>
        <w:ind w:left="708" w:firstLine="0"/>
        <w:rPr>
          <w:b/>
          <w:bCs/>
        </w:rPr>
      </w:pPr>
      <w:r>
        <w:rPr>
          <w:b/>
          <w:bCs/>
        </w:rPr>
        <w:t>O que é o Credcesta?</w:t>
      </w:r>
    </w:p>
    <w:p w14:paraId="63721B4B" w14:textId="45F6D54C" w:rsidR="00115A07" w:rsidRDefault="00115A07" w:rsidP="00115A07">
      <w:pPr>
        <w:ind w:firstLine="708"/>
      </w:pPr>
      <w:r>
        <w:t>Trata-se de um cartão com limite pré-aprovado através de uma margem consignável que a lei definiu, sem qualquer custo ou anuidade, disponibilizado aos beneficiários do INSS de um determinado convênio, cujo pagamento de sua fatura é realizado através de consignação em folha.</w:t>
      </w:r>
    </w:p>
    <w:p w14:paraId="063A524C" w14:textId="646CD8FE" w:rsidR="00115A07" w:rsidRDefault="00115A07" w:rsidP="00115A07">
      <w:pPr>
        <w:ind w:firstLine="0"/>
      </w:pPr>
      <w:r>
        <w:tab/>
      </w:r>
      <w:r w:rsidRPr="00115A07">
        <w:t>No entanto, além da modalidade simples de utilização do cartão, qual seja, compras em diversos estabelecimentos, o produto possui outras diversas funcionalidades, haja vista que, conforme denominação expressa, é um cartão de benefícios.</w:t>
      </w:r>
    </w:p>
    <w:p w14:paraId="342B0AE1" w14:textId="45C30EDA" w:rsidR="00115A07" w:rsidRDefault="00115A07" w:rsidP="00115A07">
      <w:pPr>
        <w:ind w:firstLine="0"/>
      </w:pPr>
      <w:r>
        <w:tab/>
      </w:r>
      <w:r w:rsidRPr="00115A07">
        <w:rPr>
          <w:b/>
          <w:bCs/>
        </w:rPr>
        <w:t>Bandeira VISA</w:t>
      </w:r>
      <w:r w:rsidRPr="00115A07">
        <w:t>:</w:t>
      </w:r>
      <w:r>
        <w:t xml:space="preserve"> </w:t>
      </w:r>
      <w:r w:rsidRPr="00115A07">
        <w:t>O primeiro benefício que merece ser dito é a sua bandeira VISA, que possibilita aos beneficiários do cartão a sua utilização em território nacional e internacional, inclusive, em compras online (realizadas através da internet), sem precisar efetuar o pagamento de qualquer taxa, manutenção, seguro ou anuidade por isso.</w:t>
      </w:r>
    </w:p>
    <w:p w14:paraId="0D99E195" w14:textId="7894C6A9" w:rsidR="00115A07" w:rsidRDefault="00115A07" w:rsidP="00115A07">
      <w:pPr>
        <w:ind w:firstLine="0"/>
      </w:pPr>
      <w:r>
        <w:tab/>
      </w:r>
      <w:r w:rsidRPr="00115A07">
        <w:t>Além disso, por ser um cartão com bandeira VISA, possibilita aos clientes a adesão ao Programa Vai de VISA, responsável por fornecer desconto em serviços de educação, saúde, lojas, restaurantes e afins.</w:t>
      </w:r>
    </w:p>
    <w:p w14:paraId="5BD63946" w14:textId="210A98A1" w:rsidR="00115A07" w:rsidRDefault="00115A07" w:rsidP="00115A07">
      <w:pPr>
        <w:ind w:firstLine="0"/>
      </w:pPr>
      <w:r w:rsidRPr="00115A07">
        <w:rPr>
          <w:b/>
          <w:bCs/>
        </w:rPr>
        <w:tab/>
        <w:t>Benefício TEM Saúde:</w:t>
      </w:r>
      <w:r>
        <w:rPr>
          <w:b/>
          <w:bCs/>
        </w:rPr>
        <w:t xml:space="preserve"> </w:t>
      </w:r>
      <w:r w:rsidRPr="00115A07">
        <w:t>Além disso, todos os beneficiários ativos (que utilizaram o cartão ao menos uma vez) contam com os benefícios da TEM Saúde.</w:t>
      </w:r>
    </w:p>
    <w:p w14:paraId="377C0434" w14:textId="2AD37DC1" w:rsidR="00115A07" w:rsidRDefault="00115A07" w:rsidP="00115A07">
      <w:pPr>
        <w:ind w:firstLine="0"/>
      </w:pPr>
      <w:r>
        <w:tab/>
      </w:r>
      <w:r w:rsidRPr="00115A07">
        <w:t xml:space="preserve">Em síntese, a TEM Saúde é uma startup de saúde cujo objetivo é facilitar agendamentos dos mais diversificados exames médicos e odontológicos, bem como fornecer </w:t>
      </w:r>
      <w:r w:rsidRPr="00115A07">
        <w:lastRenderedPageBreak/>
        <w:t>descontos em redes farmacêuticas e clínicas especializadas. Para o público aposentado/pensionista do INSS, o TEM Saúde oferece descontos na aquisição de diversos fármacos.</w:t>
      </w:r>
    </w:p>
    <w:p w14:paraId="2DBB20BB" w14:textId="6E39A536" w:rsidR="00115A07" w:rsidRDefault="00115A07" w:rsidP="00115A07">
      <w:pPr>
        <w:ind w:firstLine="0"/>
      </w:pPr>
      <w:r>
        <w:tab/>
      </w:r>
      <w:r w:rsidRPr="00115A07">
        <w:t>Ao passo que o aposentado realiza o cadastro na plataforma (passo a passo anexo), através de seu cartão Credcesta, é facultado ao cliente a utilização dos diversos produtos oferecidos pelo aplicativo, a exemplo da compra de medicamentos farmacêuticos.</w:t>
      </w:r>
    </w:p>
    <w:p w14:paraId="4C01380A" w14:textId="5B6009B8" w:rsidR="00115A07" w:rsidRPr="00115A07" w:rsidRDefault="00115A07" w:rsidP="00115A07">
      <w:pPr>
        <w:ind w:firstLine="0"/>
        <w:rPr>
          <w:b/>
          <w:bCs/>
        </w:rPr>
      </w:pPr>
      <w:r>
        <w:tab/>
      </w:r>
      <w:r w:rsidRPr="00115A07">
        <w:rPr>
          <w:b/>
          <w:bCs/>
        </w:rPr>
        <w:t>Contratação do Serviço de Saque</w:t>
      </w:r>
    </w:p>
    <w:p w14:paraId="56EA013A" w14:textId="0EAF0189" w:rsidR="00115A07" w:rsidRDefault="00115A07" w:rsidP="00115A07">
      <w:pPr>
        <w:ind w:firstLine="0"/>
      </w:pPr>
      <w:r>
        <w:tab/>
      </w:r>
      <w:r w:rsidR="00C664A3" w:rsidRPr="00C664A3">
        <w:t>Tais operações, a título comparativo, são semelhantes aos saques emergenciais ofertados pelas empresas de cartão de crédito, contudo, com uma taxa muito mais atrativa e, outrossim, sem a incidência de juros rotativos, de forma que se trata-se de operação mais benéfica ao consumidor interessado. O cliente beneficiário do cartão, mediante seu próprio interesse, verifica o limite disponível para o saque e solicita junto aos canais de atendimento do Credcesta a contratação deste serviço.</w:t>
      </w:r>
    </w:p>
    <w:p w14:paraId="13662FAE" w14:textId="39309666" w:rsidR="00C664A3" w:rsidRDefault="00C664A3" w:rsidP="00115A07">
      <w:pPr>
        <w:ind w:firstLine="0"/>
      </w:pPr>
      <w:r>
        <w:tab/>
      </w:r>
      <w:r w:rsidRPr="00C664A3">
        <w:t>Importante esclarecer que o limite de saque de cada beneficiário é definido e atualizado de acordo com o Instituto Nacional de Seguridade Social, seguindo o Regulamento do Credcesta com margem consignável permitida pela legislação aplicável, de maneira que esta contestante não possui autonomia para ofertar aos aposentados/pensionistas valores superiores aos limites legais estabelecidos.</w:t>
      </w:r>
    </w:p>
    <w:p w14:paraId="0F83C163" w14:textId="2B2A6521" w:rsidR="00C664A3" w:rsidRDefault="00C664A3" w:rsidP="00115A07">
      <w:pPr>
        <w:ind w:firstLine="0"/>
      </w:pPr>
      <w:r>
        <w:tab/>
        <w:t>Neste sentido, após todas as validações de segurança realizadas pelas instituições, é liberado um valor diretamente na conta de titularidade do cliente, obtido com base no Regulamento do Credcesta e margem consignável permitida pela legislação aplicável, no presente caso, a Lei Federal nº 10.820/2003. Sobre esse aspecto, vejamos a definição contida no Regulamento do produto</w:t>
      </w:r>
    </w:p>
    <w:p w14:paraId="7F5F8749" w14:textId="7EB01C7F" w:rsidR="00C664A3" w:rsidRDefault="00C664A3" w:rsidP="00C664A3">
      <w:pPr>
        <w:ind w:left="2268" w:firstLine="0"/>
      </w:pPr>
      <w:r>
        <w:tab/>
        <w:t>“6.2. SAQUE: 6.2.1. Desde que disponível tal funcionalidade, autorização pela regulamentação do Averbador e ainda sujeita à análise e aprovação de crédito pelo Emissor, o Titular poderá utilizar o Cartão Credcesta para a realização do Saque, dentro do seu respectivo limite e desde que haja Margem Consignável disponível para tanto. O limite para Saque poderá ser alterado ou suspenso, a qualquer tempo, a exclusivo critério do Emissor nos termos da Resolução BCB nº 96, de 19 de maio de 2021, e suas eventuais alterações.”</w:t>
      </w:r>
    </w:p>
    <w:p w14:paraId="703D005F" w14:textId="77777777" w:rsidR="00C664A3" w:rsidRDefault="00C664A3" w:rsidP="00C664A3">
      <w:pPr>
        <w:ind w:left="2268" w:firstLine="0"/>
      </w:pPr>
    </w:p>
    <w:p w14:paraId="2710D348" w14:textId="77777777" w:rsidR="00C664A3" w:rsidRDefault="00C664A3" w:rsidP="00C664A3">
      <w:pPr>
        <w:ind w:left="2268" w:firstLine="0"/>
      </w:pPr>
    </w:p>
    <w:p w14:paraId="45818AE5" w14:textId="19E68FC3" w:rsidR="00C664A3" w:rsidRPr="00C664A3" w:rsidRDefault="00C664A3" w:rsidP="00C664A3">
      <w:pPr>
        <w:rPr>
          <w:b/>
          <w:bCs/>
        </w:rPr>
      </w:pPr>
      <w:r w:rsidRPr="00C664A3">
        <w:rPr>
          <w:b/>
          <w:bCs/>
        </w:rPr>
        <w:t>Descontos dentro dos limites</w:t>
      </w:r>
    </w:p>
    <w:p w14:paraId="395D28E3" w14:textId="77777777" w:rsidR="00C664A3" w:rsidRDefault="00115A07" w:rsidP="00115A07">
      <w:pPr>
        <w:ind w:firstLine="0"/>
      </w:pPr>
      <w:r>
        <w:rPr>
          <w:b/>
          <w:bCs/>
        </w:rPr>
        <w:tab/>
      </w:r>
      <w:r w:rsidR="00C664A3">
        <w:t xml:space="preserve">Além do que foi dito, é importante mencionar que os descontos somente são realizados dentro dos limites da lei, como a Lei Federal nº 10.820/2003, que regula a realização de descontos em margem consignável dos aposentados e pensionistas do Instituto Nacional do Seguro Social, e as condições pactuadas no momento da solicitação. </w:t>
      </w:r>
    </w:p>
    <w:p w14:paraId="15869521" w14:textId="77777777" w:rsidR="00C664A3" w:rsidRDefault="00C664A3" w:rsidP="00C664A3">
      <w:pPr>
        <w:ind w:firstLine="708"/>
      </w:pPr>
      <w:r>
        <w:t xml:space="preserve">É que, de acordo com a norma específica, a margem consignável da Programa Credcesta é distinta daquela reservada às demais instituições financeiras; cumpre observar que o Cartão de Benefício Credcesta é, no caso dos aposentados e pensionistas do Instituto Nacional da Seguridade Social (INSS), regido pela Lei nº 10.820/2003 e regulamentos do próprio INSS, sendo assegurada uma margem de consignação de 5% (cinco por cento) exclusiva para o uso dos cartões de benefício, além da margem de 5% (cinco por cento) destinada a cartões de crédito consignados e de 35% (trinta e cinco por cento) para outras operações financeiras (tais como empréstimos e financiamentos). </w:t>
      </w:r>
    </w:p>
    <w:p w14:paraId="2DABA5C8" w14:textId="45F650CD" w:rsidR="00115A07" w:rsidRDefault="00C664A3" w:rsidP="00C664A3">
      <w:pPr>
        <w:ind w:firstLine="708"/>
      </w:pPr>
      <w:r>
        <w:t>Com efeito, havendo lei específica, essa prevalece em detrimento das outras, justamente em razão do consagrado critério de especialidade das normas, constante no art. 2º, §2º, do Decreto Lei Nº 4.657/1942.</w:t>
      </w:r>
    </w:p>
    <w:p w14:paraId="16A24A2A" w14:textId="77777777" w:rsidR="00C664A3" w:rsidRDefault="00C664A3" w:rsidP="00C664A3">
      <w:pPr>
        <w:ind w:firstLine="708"/>
      </w:pPr>
    </w:p>
    <w:p w14:paraId="7BA640ED" w14:textId="6C48F849" w:rsidR="00C664A3" w:rsidRPr="00C664A3" w:rsidRDefault="00C664A3" w:rsidP="00C664A3">
      <w:pPr>
        <w:pBdr>
          <w:bottom w:val="single" w:sz="4" w:space="1" w:color="auto"/>
        </w:pBdr>
        <w:ind w:firstLine="0"/>
        <w:rPr>
          <w:b/>
          <w:bCs/>
        </w:rPr>
      </w:pPr>
      <w:r w:rsidRPr="00C664A3">
        <w:rPr>
          <w:b/>
          <w:bCs/>
        </w:rPr>
        <w:t>III – AUSÊNCIA DE ATO ILÍCITO</w:t>
      </w:r>
    </w:p>
    <w:p w14:paraId="3739D0B0" w14:textId="191E8B7A" w:rsidR="00C664A3" w:rsidRDefault="00C664A3" w:rsidP="00C664A3">
      <w:pPr>
        <w:ind w:firstLine="851"/>
      </w:pPr>
      <w:r>
        <w:t xml:space="preserve">Inicialmente, cumpre registrar que as alegações da parte autora no sentido de que jamais contratou operação de saque junto ao Banco Demandado estão em completo desacordo com a realidade dos fatos, vênias rogadas e concedidas. </w:t>
      </w:r>
    </w:p>
    <w:p w14:paraId="07055B43" w14:textId="77777777" w:rsidR="00C664A3" w:rsidRDefault="00C664A3" w:rsidP="00C664A3">
      <w:pPr>
        <w:ind w:firstLine="851"/>
      </w:pPr>
      <w:r>
        <w:t xml:space="preserve">Em verdade, certo é que o serviço de saque foi devidamente solicitado pela Acionante, beneficiária do Instituto Nacional da Seguridade Social (INSS) e, por consequência, participante do Programa Credcesta, dado que esta autorizou a contratação. </w:t>
      </w:r>
    </w:p>
    <w:p w14:paraId="2C95D9FB" w14:textId="77777777" w:rsidR="00C664A3" w:rsidRDefault="00C664A3" w:rsidP="00C664A3">
      <w:pPr>
        <w:ind w:firstLine="851"/>
      </w:pPr>
      <w:r>
        <w:t xml:space="preserve">Assim, para que não restem dúvidas, salienta-se que, diferentemente do alegado na inicial, a Autora realizou 01 (uma) contratação de saque fácil através do atendimento digital, tendo recebido o mencionado valor em sua conta bancária via transferência. </w:t>
      </w:r>
    </w:p>
    <w:p w14:paraId="035F5A10" w14:textId="77777777" w:rsidR="00C664A3" w:rsidRDefault="00C664A3" w:rsidP="00C664A3">
      <w:pPr>
        <w:ind w:firstLine="851"/>
      </w:pPr>
      <w:r>
        <w:t xml:space="preserve">Quando o serviço de saque é solicitado por essa modalidade, o consumidor informa o número do seu CPF para validação dos dados, sendo prontamente informado sobre o limite disponível para saque. Nesta etapa, também são passadas as informações sobre </w:t>
      </w:r>
      <w:r>
        <w:lastRenderedPageBreak/>
        <w:t xml:space="preserve">valores e quantidades de parcelas, devendo a Autora confirmar interesse no valor total ou inferior àquele disponibilizado. </w:t>
      </w:r>
    </w:p>
    <w:p w14:paraId="5F6E5DFC" w14:textId="77777777" w:rsidR="00C664A3" w:rsidRDefault="00C664A3" w:rsidP="00C664A3">
      <w:pPr>
        <w:ind w:firstLine="851"/>
      </w:pPr>
      <w:r>
        <w:t>Ato contínuo, confirmado o interesse da Autora na contratação do saque, as informações quanto os termos e condições de contratação do serviço, como o valor solicitado, taxa de juros aplicada, quantidade de parcelas, dentre outras, são disponibilizadas para a Requerente que, em seguida, realiza a auditoria digital, informando os seus dados pessoais para validação do saque.</w:t>
      </w:r>
    </w:p>
    <w:p w14:paraId="68B5E2CD" w14:textId="7C0ED0D4" w:rsidR="00C664A3" w:rsidRDefault="00C664A3" w:rsidP="00C664A3">
      <w:pPr>
        <w:ind w:firstLine="851"/>
        <w:rPr>
          <w:b/>
          <w:bCs/>
        </w:rPr>
      </w:pPr>
      <w:r>
        <w:t xml:space="preserve"> Neste sentido, inexistem dúvidas de que a parte Demandante, na condição de agente maior, capaz e emissor de vontade própria, no exercício do seu livre-arbítrio, optou por contratar o saque junto ao Banco Réu.</w:t>
      </w:r>
    </w:p>
    <w:p w14:paraId="5A4FA117" w14:textId="77777777" w:rsidR="00C664A3" w:rsidRDefault="00C664A3" w:rsidP="00720DE1">
      <w:pPr>
        <w:ind w:firstLine="0"/>
      </w:pPr>
      <w:r>
        <w:rPr>
          <w:b/>
          <w:bCs/>
        </w:rPr>
        <w:tab/>
      </w:r>
      <w:r>
        <w:t xml:space="preserve">Imperioso salientar, ademais, que o sistema de confirmação de dados pessoais do cliente encontrase em conformidade com a Lei nº 13.709/2018 (Lei Geral de Proteção de Dados Pessoais), havendo a Autora anuído com a operação por meio da inserção de dados pessoais, apresentação digital do documento de identificação e prova de vida, concordando, ainda, com o Termo de Adesão e Regulamento da Credcesta. </w:t>
      </w:r>
    </w:p>
    <w:p w14:paraId="2CB01494" w14:textId="77777777" w:rsidR="00C664A3" w:rsidRDefault="00C664A3" w:rsidP="00C664A3">
      <w:pPr>
        <w:ind w:firstLine="708"/>
      </w:pPr>
      <w:r>
        <w:t xml:space="preserve">Dessa forma, não restam dúvidas de que a parte autora contratou o serviço de saque junto ao Réu, não havendo de se falar em ausência de solicitação, pois a Autora, além de validar os seus dados pessoais e enviar a prova de vida, anuiu com os termos referentes à avença. </w:t>
      </w:r>
    </w:p>
    <w:p w14:paraId="33EAB0B6" w14:textId="3BE3C958" w:rsidR="00C664A3" w:rsidRDefault="00C664A3" w:rsidP="00C664A3">
      <w:pPr>
        <w:ind w:firstLine="708"/>
      </w:pPr>
      <w:r>
        <w:t>Percebe-se, ainda, que fora a prória Requerente quem autorizou, por meio da contratação do saque, as consignações no seu benefício previdenciário, como demonstra a tela abaixo:</w:t>
      </w:r>
    </w:p>
    <w:p w14:paraId="483578D8" w14:textId="1EC6F6EA" w:rsidR="00742B7A" w:rsidRDefault="00742B7A" w:rsidP="00742B7A">
      <w:pPr>
        <w:ind w:firstLine="0"/>
        <w:jc w:val="center"/>
      </w:pPr>
      <w:r>
        <w:t>{{ comprovante_assinatura_contrato }}</w:t>
      </w:r>
    </w:p>
    <w:p w14:paraId="25D1FCA7" w14:textId="77777777" w:rsidR="00C664A3" w:rsidRDefault="00C664A3" w:rsidP="00C664A3">
      <w:pPr>
        <w:ind w:firstLine="708"/>
      </w:pPr>
      <w:r>
        <w:t xml:space="preserve">A narrativa autoral leva a crer que, em verdade, a Acionante está se utilizando do Poder Judiciário para exercer de forma abusiva e intempestiva o seu direito ao arrependimento, tentando enriquecer injustificadamente às custas do Banco Réu através da concessão de indenizações que são completamente indevidas. </w:t>
      </w:r>
    </w:p>
    <w:p w14:paraId="52589C8E" w14:textId="77777777" w:rsidR="00C664A3" w:rsidRDefault="00C664A3" w:rsidP="00C664A3">
      <w:pPr>
        <w:ind w:firstLine="708"/>
      </w:pPr>
      <w:r>
        <w:t xml:space="preserve">Com efeito, é de saber correntio que o direito ao arrependimento existe e é doutrinado através do art. 49 do CDC, como é de ver-se: Art. 49. </w:t>
      </w:r>
    </w:p>
    <w:p w14:paraId="7FF94B51" w14:textId="77777777" w:rsidR="00C664A3" w:rsidRDefault="00C664A3" w:rsidP="00C664A3">
      <w:pPr>
        <w:ind w:firstLine="708"/>
      </w:pPr>
      <w:r>
        <w:t xml:space="preserve">O consumidor pode desistir do contrato, no prazo de 7 dias a contar de sua assinatura ou do ato de recebimento do produto ou serviço, sempre que a contratação de fornecimento </w:t>
      </w:r>
      <w:r>
        <w:lastRenderedPageBreak/>
        <w:t xml:space="preserve">de produtos e serviços ocorrer fora do estabelecimento comercial, especialmente por telefone ou a domicílio. </w:t>
      </w:r>
    </w:p>
    <w:p w14:paraId="283227A7" w14:textId="77777777" w:rsidR="00C664A3" w:rsidRDefault="00C664A3" w:rsidP="00C664A3">
      <w:pPr>
        <w:ind w:firstLine="708"/>
      </w:pPr>
      <w:r>
        <w:t xml:space="preserve">Parágrafo único. Se o consumidor exercitar o direito de arrependimento previsto neste artigo, os valores eventualmente pagos, a qualquer título, durante o prazo de reflexão, serão devolvidos, de imediato, monetariamente atualizados. Inclusive, é claramente ofertada ao consumidor a possibilidade de cancelar a operação contratada junto ao Réu, no prazo de 07 (sete) dias úteis, através da devolução total do valor concedido. </w:t>
      </w:r>
    </w:p>
    <w:p w14:paraId="299DD9FC" w14:textId="19CB52BF" w:rsidR="00C664A3" w:rsidRDefault="00C664A3" w:rsidP="00C664A3">
      <w:pPr>
        <w:ind w:firstLine="708"/>
      </w:pPr>
      <w:r>
        <w:t>Tal informação está evidente na CCB disponibilizada a Autora (ora anexada), bem como aparece no ato da contratação, o que se confirma através do documento de auditoria digital colacionado aos autos, como é de ver-se:</w:t>
      </w:r>
    </w:p>
    <w:p w14:paraId="45FAEFA6" w14:textId="2095F5DF" w:rsidR="00C664A3" w:rsidRPr="00C664A3" w:rsidRDefault="00C664A3" w:rsidP="00C664A3">
      <w:pPr>
        <w:pBdr>
          <w:bottom w:val="single" w:sz="4" w:space="1" w:color="auto"/>
        </w:pBdr>
        <w:ind w:firstLine="0"/>
        <w:rPr>
          <w:b/>
          <w:bCs/>
        </w:rPr>
      </w:pPr>
      <w:r w:rsidRPr="00C664A3">
        <w:rPr>
          <w:b/>
          <w:bCs/>
        </w:rPr>
        <w:t xml:space="preserve">{% if </w:t>
      </w:r>
      <w:r>
        <w:rPr>
          <w:b/>
          <w:bCs/>
        </w:rPr>
        <w:t>dano_material</w:t>
      </w:r>
      <w:r w:rsidRPr="00C664A3">
        <w:rPr>
          <w:b/>
          <w:bCs/>
        </w:rPr>
        <w:t xml:space="preserve"> %}</w:t>
      </w:r>
      <w:r>
        <w:rPr>
          <w:b/>
          <w:bCs/>
        </w:rPr>
        <w:t xml:space="preserve"> IV - </w:t>
      </w:r>
      <w:r w:rsidRPr="00C664A3">
        <w:rPr>
          <w:b/>
          <w:bCs/>
        </w:rPr>
        <w:t>DO DANO MATERIAL</w:t>
      </w:r>
    </w:p>
    <w:p w14:paraId="054019AD" w14:textId="77777777" w:rsidR="00C664A3" w:rsidRDefault="00C664A3" w:rsidP="00C664A3">
      <w:pPr>
        <w:ind w:firstLine="708"/>
      </w:pPr>
      <w:r>
        <w:t xml:space="preserve">Como já provado nos autos e esclarecido, a parte autora efetivamente contratou o serviço de saque, através do programa Credcesta. </w:t>
      </w:r>
    </w:p>
    <w:p w14:paraId="4C3CC7BD" w14:textId="77777777" w:rsidR="00C664A3" w:rsidRDefault="00C664A3" w:rsidP="00C664A3">
      <w:pPr>
        <w:ind w:firstLine="708"/>
      </w:pPr>
      <w:r>
        <w:t xml:space="preserve">Neste sentido, merece ser destacado que a contratação realizada fora depositado em sua conta bancária, aquiescendo, ainda, com os descontos em folha de pagamento dentro da margem consignável. Todos os valores descontados referem-se, portanto, a parcelas do serviço contratado. </w:t>
      </w:r>
    </w:p>
    <w:p w14:paraId="49A7B684" w14:textId="77777777" w:rsidR="00C664A3" w:rsidRDefault="00C664A3" w:rsidP="00C664A3">
      <w:pPr>
        <w:ind w:firstLine="708"/>
      </w:pPr>
      <w:r>
        <w:t xml:space="preserve">Por tal razão, impugna-se expressamente o pedido no sentido de compelir à devolução dos valores descontados de sua aposentadoria, por tratar-se da contraprestação devida ao Réu pelo serviço de saque fácil solicitado e disponibilizado. </w:t>
      </w:r>
    </w:p>
    <w:p w14:paraId="3EA9D866" w14:textId="77777777" w:rsidR="00C664A3" w:rsidRDefault="00C664A3" w:rsidP="00C664A3">
      <w:pPr>
        <w:ind w:firstLine="708"/>
      </w:pPr>
      <w:r>
        <w:t xml:space="preserve">Demais disso, restou comprovado que todas as informações a respeito da operação foram devidamente passadas à parte autora que, por sua vez, concordou expressamente com os termos da avença. </w:t>
      </w:r>
    </w:p>
    <w:p w14:paraId="6328FF22" w14:textId="77777777" w:rsidR="00C664A3" w:rsidRDefault="00C664A3" w:rsidP="00C664A3">
      <w:pPr>
        <w:ind w:firstLine="708"/>
      </w:pPr>
      <w:r>
        <w:t xml:space="preserve">Ou seja, no momento em que solicitou as operações de saque, a parte autora já estava ciente de todas as taxas que deveria adimplir, tomando ciência, ainda, de que os valores seriam descontados diretamente em sua aposentadoria. Todos os valores cobrados referem-se, portanto, a parcelas do serviço efetivamente solicitado. </w:t>
      </w:r>
    </w:p>
    <w:p w14:paraId="42E13CA5" w14:textId="77777777" w:rsidR="00C664A3" w:rsidRDefault="00C664A3" w:rsidP="00C664A3">
      <w:pPr>
        <w:ind w:firstLine="708"/>
      </w:pPr>
      <w:r>
        <w:t xml:space="preserve">Por tal razão, impugna-se expressamente o pedido no sentido de compelir à devolução de qualquer valor descontado na aposentadoria da parte autora, por tratar-se da contraprestação devida ao Réu. </w:t>
      </w:r>
    </w:p>
    <w:p w14:paraId="07B3DFB9" w14:textId="4E4725BA" w:rsidR="00C664A3" w:rsidRDefault="00C664A3" w:rsidP="00C664A3">
      <w:pPr>
        <w:ind w:firstLine="708"/>
      </w:pPr>
      <w:r>
        <w:t xml:space="preserve">De igual sorte, não haveria como se cogitar em devolução de forma simples do valor. Isso porque o dano material não pode ser hipotético, mas sim efetivo e, portanto, não tendo </w:t>
      </w:r>
      <w:r>
        <w:lastRenderedPageBreak/>
        <w:t xml:space="preserve">a parte autora demonstrado e provado qualquer prejuízo - vez que contratou o serviço de saque e efetivamente recebeu o montante -, não há que se cogitar em indenização por danos materiais. Pelo exposto, fica expressamente impugnado o pedido de devolução de quaisquer valores descontados na aposentadoria da parte autora, seja na modalidade simples ou em dobro, vez que a mesma não só contratou o serviço de saque no cartão de crédito, como recebeu o montante em sua conta bancária e foi cientificada de todos os moldes da avença, inclusive no que toca a realização das consignações. </w:t>
      </w:r>
      <w:r w:rsidR="00512726" w:rsidRPr="00512726">
        <w:t>{% endif %}</w:t>
      </w:r>
    </w:p>
    <w:p w14:paraId="7C8C1538" w14:textId="3FFCD881" w:rsidR="00512726" w:rsidRDefault="00512726" w:rsidP="00512726">
      <w:pPr>
        <w:ind w:firstLine="0"/>
        <w:rPr>
          <w:b/>
          <w:bCs/>
        </w:rPr>
      </w:pPr>
      <w:r>
        <w:rPr>
          <w:b/>
          <w:bCs/>
        </w:rPr>
        <w:t>{% if danos_morais %}V – DOS DANOS MORAIS</w:t>
      </w:r>
    </w:p>
    <w:p w14:paraId="6AC14B4D" w14:textId="77777777" w:rsidR="00512726" w:rsidRDefault="00512726" w:rsidP="00512726">
      <w:pPr>
        <w:ind w:firstLine="0"/>
      </w:pPr>
      <w:r>
        <w:rPr>
          <w:b/>
          <w:bCs/>
        </w:rPr>
        <w:tab/>
      </w:r>
      <w:r>
        <w:t>Dos alegados danos morais É de se observar que nem todo dano é ressarcível, mas somente aqueles que preencherem os requisitos preconizados nos artigos 186, 187 e 927 do Código Civil (ato ilícito, dano, nexo causal e culpa) e necessários para a sua configuração.</w:t>
      </w:r>
    </w:p>
    <w:p w14:paraId="0ED9A059" w14:textId="77777777" w:rsidR="00512726" w:rsidRDefault="00512726" w:rsidP="00512726">
      <w:pPr>
        <w:ind w:firstLine="708"/>
      </w:pPr>
      <w:r>
        <w:t xml:space="preserve">Destaque-se que em nenhum momento o Suplicado praticou ato ilícito ou qualquer outro ato que desse ensejo a um constrangimento que fosse por parte do consumidor. Ilação inexorável, portanto, ante a inexistência de qualquer ato ilícito, é de que não há no caso in concreto o direito a indenização, mormente por não terem demonstrado, a Autora, a existência de qualquer dano, ônus que lhes pertencia. </w:t>
      </w:r>
    </w:p>
    <w:p w14:paraId="04D05D8E" w14:textId="77777777" w:rsidR="00512726" w:rsidRDefault="00512726" w:rsidP="00512726">
      <w:pPr>
        <w:ind w:firstLine="708"/>
      </w:pPr>
      <w:r>
        <w:t xml:space="preserve">O dano moral tem que ser real e efetivo, não puramente eventual e hipotético, concessa venia. Por tal motivo, como bem esmiuçado ao longo da peça contestatória, resta impugnado o pedido de dano moral, notadamente porque o Contestante em nada contribuiu para que a Suplicante sofresse danos nessa órbita. </w:t>
      </w:r>
    </w:p>
    <w:p w14:paraId="0321B203" w14:textId="77777777" w:rsidR="00512726" w:rsidRDefault="00512726" w:rsidP="00512726">
      <w:pPr>
        <w:ind w:firstLine="708"/>
      </w:pPr>
      <w:r>
        <w:t xml:space="preserve">Ademais, cumpre destacar que o mero aborrecimento da parte Acionante não gera a existência de dano moral, já que este não se confunde com o primeiro. </w:t>
      </w:r>
    </w:p>
    <w:p w14:paraId="056C47DD" w14:textId="77777777" w:rsidR="00512726" w:rsidRDefault="00512726" w:rsidP="00512726">
      <w:pPr>
        <w:ind w:firstLine="708"/>
      </w:pPr>
      <w:r>
        <w:t xml:space="preserve">A falsa cultura de que todo e qualquer aborrecimento será indenizável às barras da Justiça em cifras elevadas, além de bastante prejudicial, por criar uma expectativa de direito que concretamente não existe, banaliza o instituto do dano moral propagando atitudes irresponsáveis cometidas por pessoas que tentam utilizar-se do Judiciário visando única e tão somente o enriquecimento fácil e ilícito. </w:t>
      </w:r>
    </w:p>
    <w:p w14:paraId="4C2EAA22" w14:textId="3BDC55E9" w:rsidR="00512726" w:rsidRDefault="00512726" w:rsidP="00512726">
      <w:pPr>
        <w:ind w:firstLine="708"/>
      </w:pPr>
      <w:r>
        <w:t>Nesse sentido, o entendimento jurisprudencial não destoa, antes obsequia a tese do Demandado acerca da inexistência dos requisitos necessários para caracterização da responsabilidade civil. É que, ao contrário do que sustenta a parte autora, uma vez comprovada a contratação dos serviços,</w:t>
      </w:r>
      <w:r w:rsidRPr="00512726">
        <w:t xml:space="preserve"> a realização dos descontos autorizados pelo aposentado, desde que dentro dos ditames da lei, consubstancia-se em exercício regular de direito. Confira-se:</w:t>
      </w:r>
    </w:p>
    <w:p w14:paraId="39412B7D" w14:textId="77777777" w:rsidR="00512726" w:rsidRDefault="00512726" w:rsidP="00512726">
      <w:pPr>
        <w:ind w:firstLine="708"/>
      </w:pPr>
    </w:p>
    <w:p w14:paraId="76C47A93" w14:textId="77777777" w:rsidR="00512726" w:rsidRDefault="00512726" w:rsidP="00512726">
      <w:pPr>
        <w:ind w:left="2268" w:firstLine="0"/>
        <w:rPr>
          <w:sz w:val="18"/>
          <w:szCs w:val="18"/>
        </w:rPr>
      </w:pPr>
      <w:r w:rsidRPr="00512726">
        <w:rPr>
          <w:sz w:val="18"/>
          <w:szCs w:val="18"/>
        </w:rPr>
        <w:t>RECURSO INOMINADO. RELAÇÃO DE CONSUMO. EMPRÉSTIMO CONSIGNADO COM RESERVA DE MARGEM CONSIGNÁVEL. ALEGAÇÃO DE NULIDADE DO CONTRATO. AUSENCIA DE VEROSSIMILHANÇA DOS FATOS. SITUAÇÃO DE ABUSIVIDADE NÃO DEMONSTRADA. PARTE AUTORA CONFESSA QUE REALIZOU SAQUES MEDIANTE CARTÃO. CONTRATO REALIZADO POR APLICATIVO. RECEBIMENTO DOS VALORES. SENTENÇA DE PARCIAL PROCEDÊNCIA. REFORMA. PROVIMENTO DO RECURSO. (TJ-BA - 0025871-10.2019.8.05.0080, Relator: Sandra Sousa Do Nascimento Moreno, Data de Julgamento: 24/11/2020 - Primeira Turma Recursal, Data de Publicação: Diário da Justiça do dia 23/01/2021) APELAÇÃO CÍVEL. NEGÓCIOS JURÍDICOS BANCÁRIOS. AÇÃO DECLARATÓRIA DE INEXIGIBILIDADE DE DÍVIDA, REPETIÇÃO DE INDÉBITO E INDENIZAÇÃO POR DANOS MORAIS. CARTÃO DE CRÉDITO CONSIGNADO. RESERVA DE MARGEM CONSIGNÁVEL. DESCONTO AUTORIZADO PELO CONTRATANTE. REGULARIDADE NA CONTRATAÇÃO. SENTENÇA MANTIDA.</w:t>
      </w:r>
    </w:p>
    <w:p w14:paraId="4AB9F6E1" w14:textId="18E3D08D" w:rsidR="00512726" w:rsidRPr="00512726" w:rsidRDefault="00512726" w:rsidP="00512726">
      <w:pPr>
        <w:ind w:left="2268" w:firstLine="0"/>
        <w:rPr>
          <w:b/>
          <w:bCs/>
          <w:sz w:val="18"/>
          <w:szCs w:val="18"/>
        </w:rPr>
      </w:pPr>
      <w:r w:rsidRPr="00512726">
        <w:rPr>
          <w:sz w:val="18"/>
          <w:szCs w:val="18"/>
        </w:rPr>
        <w:t xml:space="preserve"> Restando comprovada a regularidade na contratação efetuada entre as partes, não havendo a comprovação da alegação de vício no consentimento do autor ao celebrar contrato de empréstimo por cartão de crédito na sua modalidade consignada, tendo o demandante se beneficiado do crédito fornecido pelo demandado, mostra-se descabida a pretensão autoral, não havendo falar em declaração de inexigibilidade de dívida, repetição do indébito ou indenização por danos morais. APELO DESPROVIDO. (TJ-RS - AC: 70078455607 RS, Relator: Ana Lúcia Carvalho Pinto Vieira Rebout, Data de Julgamento: 06/12/2018, Décima Segunda Câmara Cível, Data de Publicação: Diário da Justiça do dia 11/12/2018) APELAÇÃO CÍVEL – AÇÃO DECLARATÓRIA DE NULIDADE DE DESCONTO EM FOLHA DE PAGAMENTO CUMULADA COM REPETIÇÃO DE INDÉBITO E DANOS MORAIS – EMPRÉSTIMO ATRAVÉS DE CARTÃO DE CRÉDITO COM RESERVA DE MARGEM CONSIGNÁVEL – RMC – CONTRATAÇÃO COMPROVADA E VÁLIDA – DESCONTO EM FOLHA DE PAGAMENTO AUTORIZADO – DEMONSTRAÇÃO DE SAQUES – DÉBITOS DEVIDOS – DESCABIMENTO DE RESTITUIÇÃO – DANOS MORAIS NÃO CONFIGURADOS – PREQUESTIONAMENTO – RECURSO CONHECIDO E DESPROVIDO – MAJORAÇÃO DE HONORÁRIOS ADVOCATÍCIOS. Não há falar em inexistência de débito, tampouco em repetição de indébito se houve prova da contratação de empréstimo através de cartão de crédito com reserva de margem consignável, além de ser demonstrada a manutenção da relação cliente/banco. Descabe condenação ao pagamento de indenização por danos morais nos casos em que não configurado ato ilícito. (TJ-MS - APL: 08009219620188120029 MS 0800921-96.2018.8.12.0029, Relator: Des. Marcelo Câmara Rasslan, Data de Julgamento: 20/03/2019, 1ª Câmara Cível, Data de Publicação: 21/03/2019)</w:t>
      </w:r>
    </w:p>
    <w:p w14:paraId="13856E15" w14:textId="03C18EF9" w:rsidR="00C664A3" w:rsidRDefault="00512726" w:rsidP="00720DE1">
      <w:pPr>
        <w:ind w:firstLine="0"/>
        <w:rPr>
          <w:b/>
          <w:bCs/>
        </w:rPr>
      </w:pPr>
      <w:r>
        <w:rPr>
          <w:b/>
          <w:bCs/>
        </w:rPr>
        <w:tab/>
      </w:r>
      <w:r w:rsidRPr="00512726">
        <w:rPr>
          <w:b/>
          <w:bCs/>
        </w:rPr>
        <w:t>Por todo o exposto, não procede o pleito para o pagamento de indenização por danos morais, máxime no montante requerido, haja vista que, conforme foi demonstrado, o Demandado jamais expôs a parte autora a situações constrangedoras, se respaldando sempre na legalidade e na licitude dos atos.</w:t>
      </w:r>
      <w:r>
        <w:rPr>
          <w:b/>
          <w:bCs/>
        </w:rPr>
        <w:t xml:space="preserve"> {% endif %}</w:t>
      </w:r>
    </w:p>
    <w:p w14:paraId="30B698DD" w14:textId="77777777" w:rsidR="00512726" w:rsidRDefault="00512726" w:rsidP="00720DE1">
      <w:pPr>
        <w:ind w:firstLine="0"/>
        <w:rPr>
          <w:b/>
          <w:bCs/>
        </w:rPr>
      </w:pPr>
    </w:p>
    <w:p w14:paraId="417520F4" w14:textId="77777777" w:rsidR="00512726" w:rsidRDefault="00512726" w:rsidP="00720DE1">
      <w:pPr>
        <w:ind w:firstLine="0"/>
        <w:rPr>
          <w:b/>
          <w:bCs/>
        </w:rPr>
      </w:pPr>
    </w:p>
    <w:p w14:paraId="11368D68" w14:textId="77777777" w:rsidR="00512726" w:rsidRDefault="00512726" w:rsidP="00720DE1">
      <w:pPr>
        <w:ind w:firstLine="0"/>
        <w:rPr>
          <w:b/>
          <w:bCs/>
        </w:rPr>
      </w:pPr>
    </w:p>
    <w:p w14:paraId="66DED3D7" w14:textId="6834ED3D" w:rsidR="00703EB9" w:rsidRDefault="00512726" w:rsidP="00720DE1">
      <w:pPr>
        <w:ind w:firstLine="0"/>
        <w:rPr>
          <w:b/>
          <w:bCs/>
        </w:rPr>
      </w:pPr>
      <w:r>
        <w:rPr>
          <w:b/>
          <w:bCs/>
        </w:rPr>
        <w:t>{%</w:t>
      </w:r>
      <w:r w:rsidR="00493E6C">
        <w:rPr>
          <w:b/>
          <w:bCs/>
        </w:rPr>
        <w:t xml:space="preserve"> if</w:t>
      </w:r>
      <w:r>
        <w:rPr>
          <w:b/>
          <w:bCs/>
        </w:rPr>
        <w:t xml:space="preserve"> inversão_onus_prova %} </w:t>
      </w:r>
      <w:r w:rsidR="00703EB9">
        <w:rPr>
          <w:b/>
          <w:bCs/>
        </w:rPr>
        <w:t>VI – INVERSÃO DO ÔNUS DA PROVA. DESCABIMENTO</w:t>
      </w:r>
    </w:p>
    <w:p w14:paraId="29CECD21" w14:textId="77777777" w:rsidR="00512726" w:rsidRDefault="00512726" w:rsidP="00720DE1">
      <w:pPr>
        <w:ind w:firstLine="0"/>
      </w:pPr>
      <w:r>
        <w:rPr>
          <w:b/>
          <w:bCs/>
        </w:rPr>
        <w:tab/>
      </w:r>
      <w:r>
        <w:t xml:space="preserve">Por cautela, impende gizar que não se aplica, data venia, na hipótese dos autos a inversão do ônus da prova em benefício da parte Demandante. </w:t>
      </w:r>
    </w:p>
    <w:p w14:paraId="079D14C7" w14:textId="77777777" w:rsidR="00512726" w:rsidRDefault="00512726" w:rsidP="00512726">
      <w:pPr>
        <w:ind w:firstLine="708"/>
      </w:pPr>
      <w:r>
        <w:t>É que o art. 6º, VIII, do Código de Defesa do Consumidor, ao disciplinar a inversão do ônus da prova em favor do Consumidor estabeleceu alguns elementos que devem ser comprovados a fim de que possa o Magistrado deferir a inversão pretendida, quais sejam, a verossimilhança da alegação da parte Autora e a demonstração da sua hipossuficiência segundo as regras ordinárias de experiência.</w:t>
      </w:r>
    </w:p>
    <w:p w14:paraId="298FC3ED" w14:textId="40AB68F1" w:rsidR="00512726" w:rsidRDefault="00512726" w:rsidP="00720DE1">
      <w:pPr>
        <w:ind w:firstLine="0"/>
      </w:pPr>
      <w:r>
        <w:t xml:space="preserve"> </w:t>
      </w:r>
      <w:r>
        <w:tab/>
        <w:t xml:space="preserve">Sobre os elementos ensejadores da inversão do ônus da prova e a necessidade do mesmo ser expressamente declarada pelo Magistrado, colham-se os ensinamentos do sempiterno Rizzato Nunes (In “Comentários ao Código de Defesa do Consumidor”, Ed. Saraiva, 2ª Ed, pgs. 130/133), que leciona: </w:t>
      </w:r>
    </w:p>
    <w:p w14:paraId="6A36FA91" w14:textId="77777777" w:rsidR="00512726" w:rsidRPr="00512726" w:rsidRDefault="00512726" w:rsidP="00512726">
      <w:pPr>
        <w:ind w:firstLine="708"/>
        <w:rPr>
          <w:i/>
          <w:iCs/>
        </w:rPr>
      </w:pPr>
      <w:r w:rsidRPr="00512726">
        <w:rPr>
          <w:i/>
          <w:iCs/>
        </w:rPr>
        <w:t xml:space="preserve">“É fato que o vocábulo ‘verossímil’ é indeterminado, mas isso não impede que da análise do caso concreto não se possa aferir verossimilhança. Para sua avaliação não basta, é verdade, a boa redação da petição inicial ou qualquer outra. Não se trata de bom uso da técnica de argumentação que muitos profissionais têm. Isto é, não basta relatar fatos e conectá-los logicamente ao direito, de modo a produzir uma boa peça exordial. (...) A vulnerabilidade, como vimos, é conceito que afirma a fragilidade econômica do consumidor, e também técnica. Mas hipossuficiência para fins de inversão do ônus da prova, tem sentido de desconhecimento técnico e informativo do produto e do serviço, de suas propriedades, de seu funcionamento vital e/ou intrínseco, dos modos especiais de controle, dos aspectos que podem ter gerado o acidente de consumo e o dano, das características do vício, etc.” </w:t>
      </w:r>
    </w:p>
    <w:p w14:paraId="1C8C8ECC" w14:textId="77777777" w:rsidR="00512726" w:rsidRDefault="00512726" w:rsidP="00512726">
      <w:pPr>
        <w:ind w:firstLine="708"/>
      </w:pPr>
      <w:r>
        <w:t xml:space="preserve">E conclui: </w:t>
      </w:r>
    </w:p>
    <w:p w14:paraId="0961831D" w14:textId="77777777" w:rsidR="00512726" w:rsidRPr="00512726" w:rsidRDefault="00512726" w:rsidP="00512726">
      <w:pPr>
        <w:ind w:firstLine="708"/>
        <w:rPr>
          <w:i/>
          <w:iCs/>
        </w:rPr>
      </w:pPr>
      <w:r w:rsidRPr="00512726">
        <w:rPr>
          <w:i/>
          <w:iCs/>
        </w:rPr>
        <w:t xml:space="preserve">“Mas acontece, que não é isso que determina o CDC: a inversão não é automática! Como vimos antes, a inversão se dá por decisão do juiz diante de alternativas postas pela norma: ele inverterá o ônus se for verossímil a alegação ou se for hipossuficiente o consumidor.” </w:t>
      </w:r>
    </w:p>
    <w:p w14:paraId="1058FB3F" w14:textId="77777777" w:rsidR="00512726" w:rsidRDefault="00512726" w:rsidP="00512726">
      <w:pPr>
        <w:ind w:firstLine="708"/>
      </w:pPr>
      <w:r>
        <w:t xml:space="preserve">No caso sob enfoque, não se mostram presentes quaisquer dos elementos necessários à inversão do ônus da prova. Impossível se cogitar na verossimilhança das alegações da parte autora, que se limitou a postular indenização por danos morais claramente inexistentes na tentativa de enriquecer injustificadamente. </w:t>
      </w:r>
    </w:p>
    <w:p w14:paraId="182F8F35" w14:textId="7CEFA34F" w:rsidR="00512726" w:rsidRDefault="00512726" w:rsidP="00512726">
      <w:pPr>
        <w:ind w:firstLine="708"/>
        <w:rPr>
          <w:b/>
          <w:bCs/>
        </w:rPr>
      </w:pPr>
      <w:r>
        <w:lastRenderedPageBreak/>
        <w:t>Igualmente ausente a hipossuficiência da Requerente. É que, como cediço, a hipossuficiência se relaciona com a dificuldade de produção de provas pelo consumidor em face da verificação, no campo probatório, de alguns dos nuances da sua vulnerabilidade, como a existência de documentos e informações, exclusivamente, em poder do Réu.</w:t>
      </w:r>
    </w:p>
    <w:p w14:paraId="35800843" w14:textId="749B9EF6" w:rsidR="00C664A3" w:rsidRDefault="00512726" w:rsidP="00720DE1">
      <w:pPr>
        <w:ind w:firstLine="0"/>
        <w:rPr>
          <w:b/>
          <w:bCs/>
        </w:rPr>
      </w:pPr>
      <w:r>
        <w:rPr>
          <w:b/>
          <w:bCs/>
        </w:rPr>
        <w:tab/>
      </w:r>
      <w:r w:rsidRPr="00512726">
        <w:rPr>
          <w:b/>
          <w:bCs/>
        </w:rPr>
        <w:t>Assim sendo, ante a ausência dos elementos indispensáveis a inversão do ônus da prova, não há que se cogitar, pois, desde já integralmente refutado, em todos os seus termos, o pedido formulado.</w:t>
      </w:r>
      <w:r w:rsidR="00703EB9">
        <w:rPr>
          <w:b/>
          <w:bCs/>
        </w:rPr>
        <w:t xml:space="preserve"> {% endif %}</w:t>
      </w:r>
    </w:p>
    <w:p w14:paraId="29C68971" w14:textId="783232BE" w:rsidR="00720DE1" w:rsidRPr="00720DE1" w:rsidRDefault="00512726" w:rsidP="00512726">
      <w:pPr>
        <w:pBdr>
          <w:bottom w:val="single" w:sz="4" w:space="1" w:color="auto"/>
        </w:pBdr>
        <w:spacing w:before="240"/>
        <w:ind w:firstLine="0"/>
        <w:rPr>
          <w:b/>
          <w:bCs/>
        </w:rPr>
      </w:pPr>
      <w:r>
        <w:rPr>
          <w:b/>
          <w:bCs/>
        </w:rPr>
        <w:t>VI</w:t>
      </w:r>
      <w:r w:rsidR="00720DE1" w:rsidRPr="00720DE1">
        <w:rPr>
          <w:b/>
          <w:bCs/>
        </w:rPr>
        <w:t xml:space="preserve"> – PEDIDOS</w:t>
      </w:r>
    </w:p>
    <w:p w14:paraId="720F3345" w14:textId="28AC00EF" w:rsidR="00742B7A" w:rsidRPr="00720DE1" w:rsidRDefault="00720DE1" w:rsidP="00720DE1">
      <w:pPr>
        <w:ind w:firstLine="0"/>
      </w:pPr>
      <w:r>
        <w:tab/>
      </w:r>
      <w:r w:rsidRPr="00720DE1">
        <w:t>Diante do exposto, requer:</w:t>
      </w:r>
    </w:p>
    <w:p w14:paraId="2B1FEC9D" w14:textId="77777777" w:rsidR="00742B7A" w:rsidRDefault="00742B7A" w:rsidP="00720DE1">
      <w:pPr>
        <w:pStyle w:val="PargrafodaLista"/>
        <w:numPr>
          <w:ilvl w:val="0"/>
          <w:numId w:val="6"/>
        </w:numPr>
      </w:pPr>
      <w:r>
        <w:t>O acolhimento integral das preliminares aduzidas.</w:t>
      </w:r>
    </w:p>
    <w:p w14:paraId="73CB485E" w14:textId="77777777" w:rsidR="00742B7A" w:rsidRDefault="00742B7A" w:rsidP="00742B7A">
      <w:pPr>
        <w:pStyle w:val="PargrafodaLista"/>
        <w:numPr>
          <w:ilvl w:val="0"/>
          <w:numId w:val="6"/>
        </w:numPr>
      </w:pPr>
      <w:r w:rsidRPr="00742B7A">
        <w:rPr>
          <w:b/>
          <w:bCs/>
        </w:rPr>
        <w:t>Provas de que a parte autora contratou o serviço de saque:</w:t>
      </w:r>
      <w:r>
        <w:t xml:space="preserve"> com base nas provas anexadas, é evidente que a parte requerente deliberadamente solicitou o produto ora em debate, tendo este concordado com tudo o que lhe foi explicado. </w:t>
      </w:r>
    </w:p>
    <w:p w14:paraId="2C471F11" w14:textId="77777777" w:rsidR="00742B7A" w:rsidRDefault="00742B7A" w:rsidP="00742B7A">
      <w:pPr>
        <w:pStyle w:val="PargrafodaLista"/>
        <w:ind w:firstLine="0"/>
      </w:pPr>
      <w:r>
        <w:t xml:space="preserve">Além disso, é importante destacar que todas as informações também ficam disponibilizadas no site/aplicativo do produto, bem como podem ser solicitadas diretamente nos canais de atendimento do Credcesta. </w:t>
      </w:r>
    </w:p>
    <w:p w14:paraId="1DC0846E" w14:textId="77777777" w:rsidR="00742B7A" w:rsidRDefault="00742B7A" w:rsidP="00742B7A">
      <w:pPr>
        <w:pStyle w:val="PargrafodaLista"/>
        <w:ind w:firstLine="0"/>
      </w:pPr>
      <w:r w:rsidRPr="00742B7A">
        <w:rPr>
          <w:b/>
          <w:bCs/>
        </w:rPr>
        <w:t>Validade dos encargos cobrados:</w:t>
      </w:r>
      <w:r>
        <w:t xml:space="preserve"> logo, não há o que se reclamar com relação aos encargos cobrados, pois esses se referem ao Custo Efetivo Total (CET) da operação (saque parcelado através de cartão), não se tratando de valores indevidos. Insustentabilidade dos pedidos de indenização: sendo assim, são insustentáveis os pedidos de indenização por danos materiais e morais feitos pela parte autora, sob as alegações de que não teria solicitado o montante em dinheiro, o qual lhe fora disponibilizado, e que estariam sendo realizados descontos indevidos de seu salário. </w:t>
      </w:r>
    </w:p>
    <w:p w14:paraId="1CECF37A" w14:textId="3F7F9D40" w:rsidR="00720DE1" w:rsidRDefault="00742B7A" w:rsidP="00742B7A">
      <w:pPr>
        <w:pStyle w:val="PargrafodaLista"/>
        <w:ind w:firstLine="0"/>
      </w:pPr>
      <w:r w:rsidRPr="00742B7A">
        <w:rPr>
          <w:b/>
          <w:bCs/>
        </w:rPr>
        <w:t>Necessidade de condenação por litigância de má-fé:</w:t>
      </w:r>
      <w:r>
        <w:t xml:space="preserve"> esses pedidos são contrários aos princípios da probidade, da boa-fé e da lealdade, dispostos no art. 5º do CPC, devendo a parte autora ser condenada por litigância de má-fé, conforme artigos 80 e 81 do CPC.</w:t>
      </w:r>
    </w:p>
    <w:p w14:paraId="4E984B3B" w14:textId="7E847841" w:rsidR="00720DE1" w:rsidRPr="00720DE1" w:rsidRDefault="00720DE1" w:rsidP="00720DE1">
      <w:pPr>
        <w:ind w:firstLine="0"/>
        <w:jc w:val="left"/>
        <w:rPr>
          <w:i/>
          <w:iCs/>
        </w:rPr>
      </w:pPr>
      <w:r w:rsidRPr="00720DE1">
        <w:rPr>
          <w:i/>
          <w:iCs/>
        </w:rPr>
        <w:t>Termos em que, pede deferimento.</w:t>
      </w:r>
    </w:p>
    <w:p w14:paraId="7D2E03A2" w14:textId="6DB59D5B" w:rsidR="00720DE1" w:rsidRPr="00720DE1" w:rsidRDefault="00720DE1" w:rsidP="00720DE1">
      <w:pPr>
        <w:ind w:firstLine="0"/>
        <w:jc w:val="left"/>
        <w:rPr>
          <w:i/>
          <w:iCs/>
        </w:rPr>
      </w:pPr>
      <w:r w:rsidRPr="00720DE1">
        <w:rPr>
          <w:i/>
          <w:iCs/>
        </w:rPr>
        <w:t>Natal RN, em</w:t>
      </w:r>
      <w:r w:rsidR="00D9755D">
        <w:rPr>
          <w:i/>
          <w:iCs/>
        </w:rPr>
        <w:t xml:space="preserve"> {{ data_de_hoje }} </w:t>
      </w:r>
    </w:p>
    <w:p w14:paraId="591CDE55" w14:textId="77777777" w:rsidR="00026CB7" w:rsidRDefault="00026CB7" w:rsidP="00720DE1">
      <w:pPr>
        <w:ind w:firstLine="0"/>
      </w:pPr>
    </w:p>
    <w:p w14:paraId="4540EF2D" w14:textId="4902C2B3" w:rsidR="00720DE1" w:rsidRPr="00720DE1" w:rsidRDefault="00720DE1" w:rsidP="00720DE1">
      <w:pPr>
        <w:spacing w:after="0"/>
        <w:ind w:firstLine="0"/>
        <w:jc w:val="center"/>
        <w:rPr>
          <w:b/>
          <w:bCs/>
        </w:rPr>
      </w:pPr>
      <w:r w:rsidRPr="00720DE1">
        <w:rPr>
          <w:b/>
          <w:bCs/>
        </w:rPr>
        <w:t>MARCOS DELLI RIBEIRO RODRIGUES</w:t>
      </w:r>
    </w:p>
    <w:p w14:paraId="7489FB14" w14:textId="61E8B24A" w:rsidR="00720DE1" w:rsidRPr="00D9755D" w:rsidRDefault="00720DE1" w:rsidP="00720DE1">
      <w:pPr>
        <w:spacing w:after="0"/>
        <w:ind w:firstLine="0"/>
        <w:jc w:val="center"/>
        <w:rPr>
          <w:i/>
          <w:iCs/>
          <w:u w:val="single"/>
        </w:rPr>
      </w:pPr>
      <w:r w:rsidRPr="00720DE1">
        <w:rPr>
          <w:i/>
          <w:iCs/>
        </w:rPr>
        <w:t>OAB/RN 5553</w:t>
      </w:r>
    </w:p>
    <w:sectPr w:rsidR="00720DE1" w:rsidRPr="00D9755D" w:rsidSect="00E30321">
      <w:headerReference w:type="default" r:id="rId7"/>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A3ADA" w14:textId="77777777" w:rsidR="00E33642" w:rsidRDefault="00E33642" w:rsidP="004F7469">
      <w:pPr>
        <w:spacing w:after="0" w:line="240" w:lineRule="auto"/>
      </w:pPr>
      <w:r>
        <w:separator/>
      </w:r>
    </w:p>
  </w:endnote>
  <w:endnote w:type="continuationSeparator" w:id="0">
    <w:p w14:paraId="3FA82E3C" w14:textId="77777777" w:rsidR="00E33642" w:rsidRDefault="00E33642"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21E28" w14:textId="77777777" w:rsidR="00E33642" w:rsidRDefault="00E33642" w:rsidP="004F7469">
      <w:pPr>
        <w:spacing w:after="0" w:line="240" w:lineRule="auto"/>
      </w:pPr>
      <w:r>
        <w:separator/>
      </w:r>
    </w:p>
  </w:footnote>
  <w:footnote w:type="continuationSeparator" w:id="0">
    <w:p w14:paraId="26CA7493" w14:textId="77777777" w:rsidR="00E33642" w:rsidRDefault="00E33642"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56"/>
    <w:multiLevelType w:val="hybridMultilevel"/>
    <w:tmpl w:val="39200B12"/>
    <w:lvl w:ilvl="0" w:tplc="F968973C">
      <w:start w:val="1"/>
      <w:numFmt w:val="upperRoman"/>
      <w:pStyle w:val="Ttulo1"/>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5E0698"/>
    <w:multiLevelType w:val="hybridMultilevel"/>
    <w:tmpl w:val="2FF426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3B04786"/>
    <w:multiLevelType w:val="hybridMultilevel"/>
    <w:tmpl w:val="E788E844"/>
    <w:lvl w:ilvl="0" w:tplc="FE2C748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BAD47BB"/>
    <w:multiLevelType w:val="hybridMultilevel"/>
    <w:tmpl w:val="AFAE3284"/>
    <w:lvl w:ilvl="0" w:tplc="9A30A4B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2C736A15"/>
    <w:multiLevelType w:val="hybridMultilevel"/>
    <w:tmpl w:val="9BB4D33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A8A58E0"/>
    <w:multiLevelType w:val="hybridMultilevel"/>
    <w:tmpl w:val="18D648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DFF6D1C"/>
    <w:multiLevelType w:val="hybridMultilevel"/>
    <w:tmpl w:val="048CF24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41411FE"/>
    <w:multiLevelType w:val="hybridMultilevel"/>
    <w:tmpl w:val="E48E990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40067931">
    <w:abstractNumId w:val="0"/>
  </w:num>
  <w:num w:numId="2" w16cid:durableId="744108558">
    <w:abstractNumId w:val="1"/>
  </w:num>
  <w:num w:numId="3" w16cid:durableId="1701084995">
    <w:abstractNumId w:val="5"/>
  </w:num>
  <w:num w:numId="4" w16cid:durableId="326173341">
    <w:abstractNumId w:val="6"/>
  </w:num>
  <w:num w:numId="5" w16cid:durableId="151919689">
    <w:abstractNumId w:val="4"/>
  </w:num>
  <w:num w:numId="6" w16cid:durableId="1308978545">
    <w:abstractNumId w:val="7"/>
  </w:num>
  <w:num w:numId="7" w16cid:durableId="1952276978">
    <w:abstractNumId w:val="3"/>
  </w:num>
  <w:num w:numId="8" w16cid:durableId="212812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26CB7"/>
    <w:rsid w:val="00033416"/>
    <w:rsid w:val="00115A07"/>
    <w:rsid w:val="00180BCF"/>
    <w:rsid w:val="003742E9"/>
    <w:rsid w:val="003A463F"/>
    <w:rsid w:val="003E6E89"/>
    <w:rsid w:val="004434CA"/>
    <w:rsid w:val="00493E6C"/>
    <w:rsid w:val="004E7974"/>
    <w:rsid w:val="004F7469"/>
    <w:rsid w:val="00512726"/>
    <w:rsid w:val="00572348"/>
    <w:rsid w:val="006253FE"/>
    <w:rsid w:val="006A2D38"/>
    <w:rsid w:val="00703EB9"/>
    <w:rsid w:val="00720DE1"/>
    <w:rsid w:val="00742B7A"/>
    <w:rsid w:val="008C4164"/>
    <w:rsid w:val="009B3F99"/>
    <w:rsid w:val="00A150A9"/>
    <w:rsid w:val="00A20EDC"/>
    <w:rsid w:val="00A44134"/>
    <w:rsid w:val="00AA686F"/>
    <w:rsid w:val="00B02E6B"/>
    <w:rsid w:val="00B85D8A"/>
    <w:rsid w:val="00C664A3"/>
    <w:rsid w:val="00CB7407"/>
    <w:rsid w:val="00D9755D"/>
    <w:rsid w:val="00DB5F5F"/>
    <w:rsid w:val="00E30321"/>
    <w:rsid w:val="00E33642"/>
    <w:rsid w:val="00EE73BD"/>
    <w:rsid w:val="00F42349"/>
    <w:rsid w:val="00F761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F7612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semiHidden/>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semiHidden/>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10</Pages>
  <Words>3605</Words>
  <Characters>19473</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Jonilson Vilela</cp:lastModifiedBy>
  <cp:revision>18</cp:revision>
  <dcterms:created xsi:type="dcterms:W3CDTF">2026-02-09T11:14:00Z</dcterms:created>
  <dcterms:modified xsi:type="dcterms:W3CDTF">2026-02-09T12:12:00Z</dcterms:modified>
</cp:coreProperties>
</file>