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ULTRA Investment Memo — GM</w:t>
      </w:r>
    </w:p>
    <w:p>
      <w:r>
        <w:t>ULTRA Investment Memo — GM</w:t>
        <w:br/>
        <w:t>Generated: 2026-02-19 03:25 UTC</w:t>
        <w:br/>
        <w:br/>
        <w:t>Your thesis</w:t>
        <w:br/>
        <w:t>EV expansion drives margin recovery</w:t>
        <w:br/>
        <w:br/>
        <w:t>Core Numbers</w:t>
        <w:br/>
        <w:t>Revenue growth YoY: -1.29%</w:t>
        <w:br/>
        <w:t>Free cash flow (TTM): $11.07B</w:t>
        <w:br/>
        <w:t>FCF margin: 5.99%</w:t>
        <w:br/>
        <w:t>FCF yield: 14.19%</w:t>
        <w:br/>
        <w:br/>
        <w:t>What this means (super simple)</w:t>
        <w:br/>
        <w:br/>
        <w:t>Revenue growth = are people buying more?</w:t>
        <w:br/>
        <w:br/>
        <w:t>Free cash flow = after paying bills, is cash left?</w:t>
        <w:br/>
        <w:br/>
        <w:t>FCF margin = how much cash per $100 sales.</w:t>
        <w:br/>
        <w:br/>
        <w:t>FCF yield = how cheap stock is vs cash.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