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Calculation Methodology — GM</w:t>
      </w:r>
    </w:p>
    <w:p>
      <w:r>
        <w:t>*Generated: 2026-02-19 16:05 UTC*</w:t>
      </w:r>
    </w:p>
    <w:p/>
    <w:p>
      <w:r>
        <w:t>## Purpose</w:t>
      </w:r>
    </w:p>
    <w:p>
      <w:r>
        <w:t>This document explains how the engine calculates metrics, bucket scores, and the final rating.</w:t>
      </w:r>
    </w:p>
    <w:p>
      <w:r>
        <w:t>Implementation reference: `scripts/run_uber_update.py`.</w:t>
      </w:r>
    </w:p>
    <w:p/>
    <w:p>
      <w:r>
        <w:t>## Data Inputs</w:t>
      </w:r>
    </w:p>
    <w:p>
      <w:r>
        <w:t>- `data/processed/fundamentals_annual_history.csv`</w:t>
      </w:r>
    </w:p>
    <w:p>
      <w:r>
        <w:t>- `data/processed/comps_snapshot.csv`</w:t>
      </w:r>
    </w:p>
    <w:p>
      <w:r>
        <w:t>- `data/processed/news_sentiment_proxy.csv`</w:t>
      </w:r>
    </w:p>
    <w:p>
      <w:r>
        <w:t>- `data/processed/news_risk_dashboard.csv`</w:t>
      </w:r>
    </w:p>
    <w:p>
      <w:r>
        <w:t>- `outputs/decision_summary.json` or `outputs/decision_summary_&lt;T&gt;.json`</w:t>
      </w:r>
    </w:p>
    <w:p/>
    <w:p>
      <w:r>
        <w:t>## Derived Metric Formulas</w:t>
      </w:r>
    </w:p>
    <w:p>
      <w:r>
        <w:t>- `capex_spend = abs(capitalExpenditure)`</w:t>
      </w:r>
    </w:p>
    <w:p>
      <w:r>
        <w:t>- `free_cash_flow = operating_cash_flow - capex_spend`</w:t>
      </w:r>
    </w:p>
    <w:p>
      <w:r>
        <w:t>- `revenue_ttm = rolling_4q_sum(revenue)`</w:t>
      </w:r>
    </w:p>
    <w:p>
      <w:r>
        <w:t>- `fcf_ttm = rolling_4q_sum(free_cash_flow)`</w:t>
      </w:r>
    </w:p>
    <w:p>
      <w:r>
        <w:t>- `fcf_margin_ttm_pct = (fcf_ttm / revenue_ttm) * 100`</w:t>
      </w:r>
    </w:p>
    <w:p>
      <w:r>
        <w:t>- `revenue_ttm_yoy_pct = pct_change_4q(revenue_ttm) * 100`</w:t>
      </w:r>
    </w:p>
    <w:p>
      <w:r>
        <w:t>- `fcf_ttm_yoy_pct = pct_change_4q(fcf_ttm) * 100`</w:t>
      </w:r>
    </w:p>
    <w:p>
      <w:r>
        <w:t>- `net_debt = debt - cash`</w:t>
      </w:r>
    </w:p>
    <w:p>
      <w:r>
        <w:t>- `fcf_yield = fcf_ttm / market_cap`</w:t>
      </w:r>
    </w:p>
    <w:p>
      <w:r>
        <w:t>- `net_debt_to_fcf_ttm = net_debt / fcf_ttm` (only if `fcf_ttm &gt; 0`)</w:t>
      </w:r>
    </w:p>
    <w:p>
      <w:r>
        <w:t>- `rank_percentile(metric) = mean(peer_values &lt;= company_value) * 100`</w:t>
      </w:r>
    </w:p>
    <w:p/>
    <w:p>
      <w:r>
        <w:t>## Score Construction (0-100)</w:t>
      </w:r>
    </w:p>
    <w:p>
      <w:r>
        <w:t>- `score = clamp(cash_level + valuation + growth + quality + balance_risk, 0, 100)`</w:t>
      </w:r>
    </w:p>
    <w:p>
      <w:r>
        <w:t>- Rating bands: `BUY` if score &gt;= 80, `HOLD` if score &gt;= 65, else `AVOID`.</w:t>
      </w:r>
    </w:p>
    <w:p/>
    <w:p>
      <w:r>
        <w:t>### Bucket Rules</w:t>
      </w:r>
    </w:p>
    <w:p>
      <w:r>
        <w:t>- Cash Level (max 25): thresholded by `fcf_ttm` (&gt;=12B, &gt;=8B, &gt;=4B, &gt;=1B, else low).</w:t>
      </w:r>
    </w:p>
    <w:p>
      <w:r>
        <w:t>- Valuation (max 20): absolute `fcf_yield` points + relative peer-rank points.</w:t>
      </w:r>
    </w:p>
    <w:p>
      <w:r>
        <w:t>- Growth (max 20): revenue YoY leg + FCF YoY leg + two peer-rank legs.</w:t>
      </w:r>
    </w:p>
    <w:p>
      <w:r>
        <w:t>- Quality (max 15): FCF margin leg + peer-rank leg.</w:t>
      </w:r>
    </w:p>
    <w:p>
      <w:r>
        <w:t>- Balance/Risk (max 20): starts at 20 then subtracts debt/news/shock/core-risk penalties, with proxy-score adjustment.</w:t>
      </w:r>
    </w:p>
    <w:p/>
    <w:p>
      <w:r>
        <w:t>## Worked Example (Current Run)</w:t>
      </w:r>
    </w:p>
    <w:p>
      <w:r>
        <w:t>- Model score/rating: **52 / AVOID**</w:t>
      </w:r>
    </w:p>
    <w:p>
      <w:r>
        <w:t>- Reconstructed score from current inputs: **52**</w:t>
      </w:r>
    </w:p>
    <w:p/>
    <w:p>
      <w:r>
        <w:t>### Inputs Used</w:t>
      </w:r>
    </w:p>
    <w:p>
      <w:r>
        <w:t>- FCF TTM: $11.07B</w:t>
      </w:r>
    </w:p>
    <w:p>
      <w:r>
        <w:t>- FCF Yield: 14.48%</w:t>
      </w:r>
    </w:p>
    <w:p>
      <w:r>
        <w:t>- Revenue YoY: -1.29%</w:t>
      </w:r>
    </w:p>
    <w:p>
      <w:r>
        <w:t>- FCF YoY: -285.18%</w:t>
      </w:r>
    </w:p>
    <w:p>
      <w:r>
        <w:t>- FCF Margin TTM: 5.99%</w:t>
      </w:r>
    </w:p>
    <w:p>
      <w:r>
        <w:t>- Net Debt / FCF: 9.87</w:t>
      </w:r>
    </w:p>
    <w:p>
      <w:r>
        <w:t>- Peer rank (FCF Yield): 66.67%</w:t>
      </w:r>
    </w:p>
    <w:p>
      <w:r>
        <w:t>- Peer rank (Revenue YoY): 33.33%</w:t>
      </w:r>
    </w:p>
    <w:p>
      <w:r>
        <w:t>- Peer rank (FCF YoY): 33.33%</w:t>
      </w:r>
    </w:p>
    <w:p>
      <w:r>
        <w:t>- Peer rank (FCF Margin): 33.33%</w:t>
      </w:r>
    </w:p>
    <w:p>
      <w:r>
        <w:t>- News neg 7d: 0</w:t>
      </w:r>
    </w:p>
    <w:p>
      <w:r>
        <w:t>- News shock 7d: 0</w:t>
      </w:r>
    </w:p>
    <w:p>
      <w:r>
        <w:t>- Core risk hits 30d (LABOR+INSURANCE+REGULATORY): 6</w:t>
      </w:r>
    </w:p>
    <w:p>
      <w:r>
        <w:t>- Proxy score 7d: 68.00</w:t>
      </w:r>
    </w:p>
    <w:p/>
    <w:p>
      <w:r>
        <w:t>### Bucket Contributions (Reconstructed)</w:t>
      </w:r>
    </w:p>
    <w:p>
      <w:r>
        <w:t>- Cash Level: **21** | FCF TTM &gt;= 8B</w:t>
      </w:r>
    </w:p>
    <w:p>
      <w:r>
        <w:t>- Valuation: **17** | absolute leg: +10 (fcf_yield &gt;= 8%); relative leg: +7 (rank &gt;= 50)</w:t>
      </w:r>
    </w:p>
    <w:p>
      <w:r>
        <w:t>- Growth: **0** | rev_yoy: -3; fcf_yoy: -5; rev rank leg applied; fcf rank leg applied</w:t>
      </w:r>
    </w:p>
    <w:p>
      <w:r>
        <w:t>- Quality: **6** | margin leg: +3; rank leg applied</w:t>
      </w:r>
    </w:p>
    <w:p>
      <w:r>
        <w:t>- Balance/Risk: **8** | start at 20; -8 debt penalty (nd_fcf &gt;= 3.0); -4 core-risk frequency penalty (&gt;= 6)</w:t>
      </w:r>
    </w:p>
    <w:p/>
    <w:p>
      <w:r>
        <w:t>### Bucket Contributions (From Engine Output)</w:t>
      </w:r>
    </w:p>
    <w:p>
      <w:r>
        <w:t>- cash_level: **21**</w:t>
      </w:r>
    </w:p>
    <w:p>
      <w:r>
        <w:t>- valuation: **17**</w:t>
      </w:r>
    </w:p>
    <w:p>
      <w:r>
        <w:t>- growth: **0**</w:t>
      </w:r>
    </w:p>
    <w:p>
      <w:r>
        <w:t>- quality: **6**</w:t>
      </w:r>
    </w:p>
    <w:p>
      <w:r>
        <w:t>- balance_risk: **8**</w:t>
      </w:r>
    </w:p>
    <w:p/>
    <w:p>
      <w:r>
        <w:t>## Notes</w:t>
      </w:r>
    </w:p>
    <w:p>
      <w:r>
        <w:t>- If reconstructed score and model score differ, the run may have mixed ticker-scoped vs shared summary files.</w:t>
      </w:r>
    </w:p>
    <w:p>
      <w:r>
        <w:t>- This document is generated from current output files and mirrors current scoring logic.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