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BIG INVESTMENT MEMO — GM</w:t>
      </w:r>
    </w:p>
    <w:p/>
    <w:p>
      <w:r>
        <w:t>Generated: 2026-02-19 03:56 UTC</w:t>
      </w:r>
    </w:p>
    <w:p/>
    <w:p>
      <w:r>
        <w:t>## Your Thesis</w:t>
      </w:r>
    </w:p>
    <w:p>
      <w:r>
        <w:t>EV expansion drives margin recovery</w:t>
      </w:r>
    </w:p>
    <w:p/>
    <w:p>
      <w:r>
        <w:t>---</w:t>
      </w:r>
    </w:p>
    <w:p/>
    <w:p>
      <w:r>
        <w:t>## Core Numbers (human version)</w:t>
      </w:r>
    </w:p>
    <w:p/>
    <w:p>
      <w:r>
        <w:t>• Revenue growth YoY: **-1.29%**</w:t>
      </w:r>
    </w:p>
    <w:p>
      <w:r>
        <w:t>• Free cash flow (TTM): **$11.07B**</w:t>
      </w:r>
    </w:p>
    <w:p>
      <w:r>
        <w:t>• FCF margin: **5.99%**</w:t>
      </w:r>
    </w:p>
    <w:p>
      <w:r>
        <w:t>• FCF yield: **0.14%**</w:t>
      </w:r>
    </w:p>
    <w:p/>
    <w:p>
      <w:r>
        <w:t>---</w:t>
      </w:r>
    </w:p>
    <w:p/>
    <w:p>
      <w:r>
        <w:t>## What these mean (five year old mode)</w:t>
      </w:r>
    </w:p>
    <w:p/>
    <w:p>
      <w:r>
        <w:t>Revenue growth = are people buying more?</w:t>
      </w:r>
    </w:p>
    <w:p/>
    <w:p>
      <w:r>
        <w:t>Free cash flow = after paying bills, is cash left?</w:t>
      </w:r>
    </w:p>
    <w:p/>
    <w:p>
      <w:r>
        <w:t>FCF margin = how much cash per $100 sales.</w:t>
      </w:r>
    </w:p>
    <w:p/>
    <w:p>
      <w:r>
        <w:t>FCF yield = how cheap stock is vs cash.</w:t>
      </w:r>
    </w:p>
    <w:p/>
    <w:p>
      <w:r>
        <w:t>---</w:t>
      </w:r>
    </w:p>
    <w:p/>
    <w:p>
      <w:r>
        <w:t>## Raw Snapshot</w:t>
      </w:r>
    </w:p>
    <w:p/>
    <w:p>
      <w:r>
        <w:t>Market cap: $78.05B</w:t>
      </w:r>
    </w:p>
    <w:p>
      <w:r>
        <w:t>Cash: $20.95B</w:t>
      </w:r>
    </w:p>
    <w:p>
      <w:r>
        <w:t>Debt: $130.28B</w:t>
      </w:r>
    </w:p>
    <w:p>
      <w:r>
        <w:t>Net debt: $109.33B</w:t>
      </w:r>
    </w:p>
    <w:p/>
    <w:p>
      <w:r>
        <w:t>---</w:t>
      </w:r>
    </w:p>
    <w:p/>
    <w:p>
      <w:r>
        <w:t>## Model Buckets</w:t>
      </w:r>
    </w:p>
    <w:p/>
    <w:p>
      <w:r>
        <w:t xml:space="preserve">Cash Level: </w:t>
      </w:r>
    </w:p>
    <w:p>
      <w:r>
        <w:t xml:space="preserve">Valuation: </w:t>
      </w:r>
    </w:p>
    <w:p>
      <w:r>
        <w:t xml:space="preserve">Growth: </w:t>
      </w:r>
    </w:p>
    <w:p>
      <w:r>
        <w:t xml:space="preserve">Quality: </w:t>
      </w:r>
    </w:p>
    <w:p>
      <w:r>
        <w:t xml:space="preserve">Balance Risk: </w:t>
      </w:r>
    </w:p>
    <w:p/>
    <w:p>
      <w:r>
        <w:t>---</w:t>
      </w:r>
    </w:p>
    <w:p/>
    <w:p>
      <w:r>
        <w:t>## Files</w:t>
      </w:r>
    </w:p>
    <w:p/>
    <w:p>
      <w:r>
        <w:t xml:space="preserve">Dashboard: outputs/decision_dashboard_GM.html  </w:t>
      </w:r>
    </w:p>
    <w:p>
      <w:r>
        <w:t xml:space="preserve">News: outputs/news_clickpack_GM.html  </w:t>
      </w:r>
    </w:p>
    <w:p>
      <w:r>
        <w:t xml:space="preserve">Claims: outputs/claim_evidence_GM.html  </w:t>
      </w:r>
    </w:p>
    <w:p/>
    <w:p>
      <w:r>
        <w:t>---</w:t>
      </w:r>
    </w:p>
    <w:p/>
    <w:p>
      <w:r>
        <w:t>End of BIG memo.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