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t xml:space="preserve"/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888888"/>
          <w:spacing w:val="200"/>
          <w:sz w:val="20"/>
          <w:szCs w:val="20"/>
        </w:rPr>
        <w:t xml:space="preserve">BEHOVSANALYS  –  VERSION 2.0</w:t>
      </w:r>
    </w:p>
    <w:p>
      <w:pPr>
        <w:spacing w:after="180"/>
        <w:jc w:val="center"/>
      </w:pPr>
      <w:r>
        <w:rPr>
          <w:rFonts w:ascii="Calibri" w:cs="Calibri" w:eastAsia="Calibri" w:hAnsi="Calibri"/>
          <w:b/>
          <w:bCs/>
          <w:color w:val="1A4F8A"/>
          <w:sz w:val="40"/>
          <w:szCs w:val="40"/>
        </w:rPr>
        <w:t xml:space="preserve">Digitalt remiss- och prioriteringssystem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444444"/>
          <w:sz w:val="26"/>
          <w:szCs w:val="26"/>
        </w:rPr>
        <w:t xml:space="preserve">ECT- och rTMS-enheten, Sahlgrenska Universitetssjukhuset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Västra Götalandsregionen (VGR)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Fält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Innehåll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Dokument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Behovsanalys – IT-projekt (v2.0)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Uppdatering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Kliniskt flöde korrigerat: remiss-modell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Datum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2026-05-31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Författare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[Ditt namn], ECT/rTMS-enheten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Beställare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[Enhetschef namn], Sahlgrenska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Mottagare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VGR IT, Arkitekturrådet</w:t>
            </w:r>
          </w:p>
        </w:tc>
      </w:tr>
    </w:tbl>
    <w:p>
      <w:pPr>
        <w:spacing w:after="400"/>
      </w:pPr>
      <w:r>
        <w:t xml:space="preserve"/>
      </w:r>
    </w:p>
    <w:p>
      <w:pPr>
        <w:pageBreakBefore/>
      </w:pPr>
      <w:r>
        <w:t xml:space="preserve"/>
      </w:r>
    </w:p>
    <w:p>
      <w:pPr>
        <w:pBdr>
          <w:bottom w:val="single" w:color="1A4F8A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A4F8A"/>
          <w:sz w:val="28"/>
          <w:szCs w:val="28"/>
        </w:rPr>
        <w:t xml:space="preserve">1. Sammanfattning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534AB7" w:sz="2"/>
              <w:left w:val="thick" w:color="534AB7" w:sz="16"/>
              <w:bottom w:val="single" w:color="534AB7" w:sz="2"/>
              <w:right w:val="single" w:color="534AB7" w:sz="2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34AB7"/>
                <w:sz w:val="20"/>
                <w:szCs w:val="20"/>
              </w:rPr>
              <w:t xml:space="preserve">Klinisk utgångspunkt – v2.0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22"/>
                <w:szCs w:val="22"/>
              </w:rPr>
              <w:t xml:space="preserve">ECT-enheten består av 3–4 sjuksköterskor som hanterar all samordning i överensstämmelse med ansvarig överläkare (ÖL). Psykiatriska avdelningar i Göteborg ska kunna skicka remisser digitalt, men prioriteringsbesluten fattas alltid av ECT-personalen i samråd med ÖL. Systemet är därför ett remiss- och prioriteringssystem – inte ett direkt bokningssystem.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ECT/rTMS-enheten vid Sahlgrenska Universitetssjukhuset hanterar i dag alla behandlingsförfrågningar via telefon. Psykiatriska avdelningar ringer för att anmäla patienter, och ECT-ssk samordnar sedan prioritetsordning och schemaggängning i samråd med ansvarig överläkare. Ingen del av detta flöde är digitalt, spårbart eller strukturerat.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Den föreslagna lösningen digitaliserar det kliniska flödet i två tydliga steg: (1) Avdelningarna skickar strukturerade remisser med hälsodeklaration via ett enkelt webformulär. (2) ECT-personalen ser alla inkomna remisser i en prioriteringslista, bedömer dem kliniskt, och fastlägger schema i samråd med ÖL – vars godkännande sker digitalt och spårbart.</w:t>
      </w:r>
    </w:p>
    <w:p>
      <w:pPr>
        <w:spacing w:after="120"/>
      </w:pPr>
      <w:r>
        <w:t xml:space="preserve"/>
      </w:r>
    </w:p>
    <w:p>
      <w:pPr>
        <w:pBdr>
          <w:bottom w:val="single" w:color="1A4F8A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A4F8A"/>
          <w:sz w:val="28"/>
          <w:szCs w:val="28"/>
        </w:rPr>
        <w:t xml:space="preserve">2. Roller och systemansvar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42B2B" w:sz="2"/>
              <w:left w:val="thick" w:color="C42B2B" w:sz="16"/>
              <w:bottom w:val="single" w:color="C42B2B" w:sz="2"/>
              <w:right w:val="single" w:color="C42B2B" w:sz="2"/>
            </w:tcBorders>
            <w:shd w:fill="FDEAE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42B2B"/>
                <w:sz w:val="20"/>
                <w:szCs w:val="20"/>
              </w:rPr>
              <w:t xml:space="preserve">Viktig distinktion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22"/>
                <w:szCs w:val="22"/>
              </w:rPr>
              <w:t xml:space="preserve">Avdelningarna bokar INTE direkt. De skickar en remiss. Det är ECT-personalen som avgör när och om behandlingen kan ske, alltid i överensstämmelse med ÖL på ECT-enheten.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Behörighet och ansvar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Psykiatrisk avdelning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Fyller i remissformulär, hälsodeklaration, urgensgrad. Ser status på egna remisser. Kan INTE se andra avdelningars patienter eller lägga in tider.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ECT-ssk (3–4 st)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Ser alla inkomna remisser i prioriteringslistan. Granskar, flaggar frågor, föreslår prioriteringsordning och lägger in patienter i schemat efter ÖL-samråd.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ÖL på ECT-enheten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Godkänner prioriteringsordning och dagligt schema. Får notifiering vid nya högprio-remisser och vid akut ECT. Beslut loggas digitalt med tidsstamp.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Koordinator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Hanterar sista-minuten-avbokningar, standby-lista, akut-larm och TESSA-personalstatus.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1A4F8A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A4F8A"/>
          <w:sz w:val="28"/>
          <w:szCs w:val="28"/>
        </w:rPr>
        <w:t xml:space="preserve">3. Det kliniska flödet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Steg 1 – Avdelningen skickar remiss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Avdelningen loggar in via SITHS-kort och fyller i: personnummer, diagnos, behandlingstyp (ECT/rTMS), urgensgrad (elektiv / halvakut / akut).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Fyller i digital hälsodeklaration: fasta, blodtryck, vikt, allergier, läkemedel.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Skickar remissen. Status ändras till 'Inkommen'. Ingen tid är ännu bokad.</w:t>
      </w:r>
    </w:p>
    <w:p>
      <w:pPr>
        <w:spacing w:after="120"/>
      </w:pPr>
      <w: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Steg 2 – ECT-ssk granskar prioriteringslistan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Ssk ser alla inkomna remisser sorterade efter urgensgrad och ankomsttid.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Kan flagga frågor tillbaka till avdelningen om hälsodeklaration är ofullständig.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Föreslår prioriteringsordning för nästa behandlingsdag och presenterar för ÖL.</w:t>
      </w:r>
    </w:p>
    <w:p>
      <w:pPr>
        <w:spacing w:after="120"/>
      </w:pPr>
      <w: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Steg 3 – Samråd ssk och ÖL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ÖL får daglig notifiering: 'Här är förslag på morgondagens schema – godkänn eller kommentera.'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Beslut loggas digitalt med ÖL:s identitet och tidsstamp. Spårbart för revision.</w:t>
      </w:r>
    </w:p>
    <w:p>
      <w:pPr>
        <w:spacing w:after="120"/>
      </w:pPr>
      <w: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Steg 4 – Ssk bekräftar bokning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När ÖL godkänt lägger ssk in patienten i schemat. Status: 'Bokad'.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Avdelningen får automatisk notifiering med datum, tid och förberedelseinstruktioner.</w:t>
      </w:r>
    </w:p>
    <w:p>
      <w:pPr>
        <w:spacing w:after="120"/>
      </w:pPr>
      <w: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Akut-spår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Om urgensgrad = Akut triggas systemlarm omedelbart till ssk, ÖL och anestesijour simultant.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Schemat kan forceras utan förgående ÖL-godkännande, men ÖL måste bekräfta i efterhand.</w:t>
      </w:r>
    </w:p>
    <w:p>
      <w:pPr>
        <w:spacing w:after="120"/>
      </w:pPr>
      <w:r>
        <w:t xml:space="preserve"/>
      </w:r>
    </w:p>
    <w:p>
      <w:pPr>
        <w:pBdr>
          <w:bottom w:val="single" w:color="1A4F8A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A4F8A"/>
          <w:sz w:val="28"/>
          <w:szCs w:val="28"/>
        </w:rPr>
        <w:t xml:space="preserve">4. Uppdaterad databasmodell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Entitet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Nyckelattribut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REMISS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pnr (FK), avdelning, behandlingstyp, urgensgrad, status (inkommen/granskas/godkänd/avvisad/bokad), öl_godkänt, inskickad_tid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HÄLSODEKLARATION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remiss_id (FK), fasta_ok, blodtryck, vikt_kg, allergi, läkemedel, extra_info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BOKNING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id, remiss_id (FK), pnr (FK), datum, tidslot, status, orbit_status, dubbel_pair_id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PATIENT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pnr (PK), namn, födelsedat, diagnoskod, aktuell_avdelning, standby_prio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THYMATRON_DATA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bokning_id (FK), kramptid_motor, kramptid_eeg, dos_mC, synkad_melior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TESSA_STATUS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datum, narkos_tillg, narkos_krav, ssk_tillg, ect_kapacitet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BLÅAPPEN_STATUS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pnr (FK), datum, madrs_ok, uppdaterad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DOKUMENT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id, titel, typ, version, giltig_från, giltig_till, ansvarig, dokumentId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PERSONAL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id, namn, roll (ssk/öl/avdelning/koordinator), tessa_id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1A4F8A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A4F8A"/>
          <w:sz w:val="28"/>
          <w:szCs w:val="28"/>
        </w:rPr>
        <w:t xml:space="preserve">5. Nuläge och problemformulering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Problemområde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Konsekvens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Alla remisser via telefon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Ssk tar emot förfrågningar per telefon – ingen strukturerad data, inget revisionsspår.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Ingen samlad prioriteringslista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Prioriteringsordningen existerar i ssk:s huvud och på papper – sårbar vid sjukdom eller semester.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ÖL-samråd utan dokumentation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Beslut om prioritering fattas muntligt – kan inte visas upp vid avvikelserapport eller IVO-inspektion.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Hälsodeklarationer på papper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Riskerar förlust, når inte fram i tid, uppfyller ej krav på spårbarhet i Patientdatalagen.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Avdelningar vet inte status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När remiss skickats in per telefon vet avdelningen inte när – eller om – behandling sker.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Akut ECT = telefonkedja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Ssk ringer ÖL, ringer anestesi separat. Varje steg tar minuter vid vitalindikation.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Orbit vs Melior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Anestesipersonal använder Orbit; ECT-personal använder Melior. Ingen automatisk kommunikation.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1A4F8A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A4F8A"/>
          <w:sz w:val="28"/>
          <w:szCs w:val="28"/>
        </w:rPr>
        <w:t xml:space="preserve">6. Förväntade nyttor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6.1 För ECT-personalen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Strukturerad prioriteringslista i realtid – ssk behöver inte hålla listan i huvudet.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Inget telefonarbete för att ta emot remisser – avdelningarna skriver själva.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Komplett hälsodeklaration alltid tillgänglig digitalt inför behandling.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Thymatron-data flödar automatiskt till Melior – ingen dubbel datainmatning.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Anestesiorderstatus (Orbit) synlig i dashboarden utan att ringa.</w:t>
      </w:r>
    </w:p>
    <w:p>
      <w:pPr>
        <w:spacing w:after="120"/>
      </w:pPr>
      <w: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6.2 För ÖL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Daglig översikt över alla väntande patienter med urgensgrad och väntetid.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Digitalt, spårbart godkännande av schema – skyddar ÖL juridiskt.</w:t>
      </w:r>
    </w:p>
    <w:p>
      <w:pPr>
        <w:spacing w:after="120"/>
      </w:pPr>
      <w: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6.3 För avdelningarna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Enkel remissinsändning via webformulär – ingen telefonväntan.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Realtidsstatus: inkommen / granskas / bokad / avvisad.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Automatisk notifiering med tid och förberedelseinstruktioner.</w:t>
      </w:r>
    </w:p>
    <w:p>
      <w:pPr>
        <w:spacing w:after="120"/>
      </w:pPr>
      <w:r>
        <w:t xml:space="preserve"/>
      </w:r>
    </w:p>
    <w:p>
      <w:pPr>
        <w:pBdr>
          <w:bottom w:val="single" w:color="1A4F8A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A4F8A"/>
          <w:sz w:val="28"/>
          <w:szCs w:val="28"/>
        </w:rPr>
        <w:t xml:space="preserve">7. Teknisk arkitektur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9E5F" w:sz="2"/>
              <w:left w:val="thick" w:color="1A9E5F" w:sz="16"/>
              <w:bottom w:val="single" w:color="1A9E5F" w:sz="2"/>
              <w:right w:val="single" w:color="1A9E5F" w:sz="2"/>
            </w:tcBorders>
            <w:shd w:fill="E8F7F1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9E5F"/>
                <w:sz w:val="20"/>
                <w:szCs w:val="20"/>
              </w:rPr>
              <w:t xml:space="preserve">Teknisk stack – VGR-anpassad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22"/>
                <w:szCs w:val="22"/>
              </w:rPr>
              <w:t xml:space="preserve">Backend: C# .NET 8 Web API
Frontend: React 18 + TypeScript
Databas: SQL Server on-premise, VGR:s servrar
Autentisering: SITHS-kort via VGR LDAP/AD
API-standard: FHIR R4 (Millennium-kompatibel)
Datalagring: Uteslutande på VGR:s egna servrar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1A4F8A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A4F8A"/>
          <w:sz w:val="28"/>
          <w:szCs w:val="28"/>
        </w:rPr>
        <w:t xml:space="preserve">8. Föreslagen tidsplan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Aktiviteter och uppskattad tid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Fas 1 – Mandat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Enhetschef signerar – IT-ärende öppnas. (2–4 v)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Fas 2 – VGR IT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IT-beställning, KLASSA-klassning, arkitekturråd. (1–3 mån)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Fas 3 – Partner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Upphandling eller Chalmers/GU-samverkan. (2–3 mån)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Fas 4 – MVP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Remissflöde + prioriteringslista + ÖL-godkännande. Testpilot. (3–6 mån)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Fas 5 – Produktion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TESSA, Thymatron, Blåappen, Orbit-integration. Millennium-prep. (6–18 mån)</w:t>
            </w:r>
          </w:p>
        </w:tc>
      </w:tr>
    </w:tbl>
    <w:p>
      <w:pPr>
        <w:spacing w:after="4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4F8A" w:sz="2"/>
              <w:left w:val="thick" w:color="1A4F8A" w:sz="16"/>
              <w:bottom w:val="single" w:color="1A4F8A" w:sz="2"/>
              <w:right w:val="single" w:color="1A4F8A" w:sz="2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4F8A"/>
                <w:sz w:val="20"/>
                <w:szCs w:val="20"/>
              </w:rPr>
              <w:t xml:space="preserve">Presentationsmanus för VGR IT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22"/>
                <w:szCs w:val="22"/>
              </w:rPr>
              <w:t xml:space="preserve">"Vi vet att VGR IT har strikta krav. Systemet är byggt i C# .NET 8 och React/TypeScript, körs på VGR:s egna servrar och kommunicerar via FHIR R4. Det är inte ett bokningssystem – det är en digitalisering av det kliniska beslutsflödet som ssk och ÖL redan gör idag, men utan något revisionsspår."</w:t>
            </w:r>
          </w:p>
        </w:tc>
      </w:tr>
    </w:tbl>
    <w:p>
      <w:pPr>
        <w:spacing w:after="400"/>
      </w:pPr>
      <w:r>
        <w:t xml:space="preserve"/>
      </w:r>
    </w:p>
    <w:p>
      <w:pPr>
        <w:pBdr>
          <w:bottom w:val="single" w:color="1A4F8A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A4F8A"/>
          <w:sz w:val="28"/>
          <w:szCs w:val="28"/>
        </w:rPr>
        <w:t xml:space="preserve">9. Godkännande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Signatur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Författare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________________________________
[Namn]
ECT/rTMS-enheten
Datum: ___________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Beställare (enhetschef)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________________________________
[Namn]
Sahlgrenska
Datum: ___________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VGR IT-mottagare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________________________________
[Namn]
VGR IT
Datum: 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spacing w:before="80"/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Sahlgrenska Universitetssjukhuset  |  Sida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4F8A" w:sz="4" w:space="4"/>
      </w:pBdr>
      <w:spacing w:after="80"/>
    </w:pPr>
    <w:r>
      <w:rPr>
        <w:rFonts w:ascii="Calibri" w:cs="Calibri" w:eastAsia="Calibri" w:hAnsi="Calibri"/>
        <w:color w:val="888888"/>
        <w:sz w:val="18"/>
        <w:szCs w:val="18"/>
      </w:rPr>
      <w:t xml:space="preserve">VGR IT-behovsanalys  |  Remiss- och prioriteringssystem, ECT/rTMS  |  Version 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2026-05-31T17:08:59.411Z</dcterms:created>
  <dcterms:modified xsi:type="dcterms:W3CDTF">2026-05-31T17:08:59.411Z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