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Investment Due-Diligence Platform</w:t>
      </w:r>
    </w:p>
    <w:p>
      <w:pPr>
        <w:spacing w:after="200"/>
      </w:pPr>
      <w:r>
        <w:rPr>
          <w:i/>
          <w:iCs/>
          <w:color w:val="555555"/>
          <w:sz w:val="20"/>
          <w:szCs w:val="20"/>
        </w:rPr>
        <w:t xml:space="preserve">Internal scoping — product scope, data feasibility, and model approach. Prepared for team alignment ahead of the client conversation.</w:t>
      </w:r>
    </w:p>
    <w:p>
      <w:pPr>
        <w:spacing w:after="140"/>
      </w:pPr>
      <w:r>
        <w:rPr>
          <w:sz w:val="21"/>
          <w:szCs w:val="21"/>
        </w:rPr>
        <w:t xml:space="preserve">Based on the client notes, the product is an AI-driven due-diligence and scoring platform for alternative investments. A client-facing dashboard estimates the probability that a prospective investment hits a target return — framed as “how much risk to earn ~20%” — by learning from a history of past investments. Real estate is the first vertical; venture capital, private lending, and real estate hedge funds follow; sports is a later ambition. A human analyst keeps the model current with both quantitative data and qualitative judgment. The differentiators are transparency and a data edge over competitors.</w:t>
      </w:r>
    </w:p>
    <w:p>
      <w:pPr>
        <w:pBdr>
          <w:left w:val="single" w:color="8A5A00" w:sz="18" w:space="6"/>
        </w:pBdr>
        <w:shd w:fill="FFF6E5" w:val="clear"/>
        <w:spacing w:after="160" w:before="120"/>
        <w:ind w:left="160"/>
      </w:pPr>
      <w:r>
        <w:rPr>
          <w:b/>
          <w:bCs/>
          <w:color w:val="8A5A00"/>
          <w:sz w:val="20"/>
          <w:szCs w:val="20"/>
        </w:rPr>
        <w:t xml:space="preserve">Headline:  </w:t>
      </w:r>
      <w:r>
        <w:rPr>
          <w:sz w:val="20"/>
          <w:szCs w:val="20"/>
        </w:rPr>
        <w:t xml:space="preserve">This is no longer a residential-RE model. It is a multi-asset-class scoring platform, and its hardest problem is data — which differs completely by asset class. The earlier Census/RentCast/Mashvisor comparison is now just the residential-RE module.</w:t>
      </w:r>
    </w:p>
    <w:p>
      <w:pPr>
        <w:pStyle w:val="Heading1"/>
      </w:pPr>
      <w:r>
        <w:t xml:space="preserve">Part A — Scope &amp; Requirements</w:t>
      </w:r>
    </w:p>
    <w:p>
      <w:pPr>
        <w:spacing w:after="120"/>
      </w:pPr>
      <w:r>
        <w:rPr>
          <w:b/>
          <w:bCs/>
          <w:color w:val="1F3A5F"/>
          <w:sz w:val="21"/>
          <w:szCs w:val="21"/>
        </w:rPr>
        <w:t xml:space="preserve">Product in one line: </w:t>
      </w:r>
      <w:r>
        <w:rPr>
          <w:sz w:val="21"/>
          <w:szCs w:val="21"/>
        </w:rPr>
        <w:t xml:space="preserve">An explainable AI tool that scores the probability a given alternative-investment opportunity achieves a target return, and quantifies the risk of falling short.</w:t>
      </w:r>
    </w:p>
    <w:p>
      <w:pPr>
        <w:pStyle w:val="Heading2"/>
      </w:pPr>
      <w:r>
        <w:t xml:space="preserve">Verticals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r>
              <w:rPr>
                <w:b/>
                <w:bCs/>
                <w:color w:val="FFFFFF"/>
                <w:sz w:val="17"/>
                <w:szCs w:val="17"/>
              </w:rPr>
              <w:t xml:space="preserve">Vertical</w:t>
            </w:r>
          </w:p>
        </w:tc>
        <w:tc>
          <w:tcPr>
            <w:tcW w:type="dxa" w:w="338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r>
              <w:rPr>
                <w:b/>
                <w:bCs/>
                <w:color w:val="FFFFFF"/>
                <w:sz w:val="17"/>
                <w:szCs w:val="17"/>
              </w:rPr>
              <w:t xml:space="preserve">Sub-types in scope</w:t>
            </w:r>
          </w:p>
        </w:tc>
        <w:tc>
          <w:tcPr>
            <w:tcW w:type="dxa" w:w="338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r>
              <w:rPr>
                <w:b/>
                <w:bCs/>
                <w:color w:val="FFFFFF"/>
                <w:sz w:val="17"/>
                <w:szCs w:val="17"/>
              </w:rPr>
              <w:t xml:space="preserve">Phase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F3A5F"/>
                <w:sz w:val="18"/>
                <w:szCs w:val="18"/>
              </w:rPr>
              <w:t xml:space="preserve">Real estate</w:t>
            </w:r>
          </w:p>
        </w:tc>
        <w:tc>
          <w:tcPr>
            <w:tcW w:type="dxa" w:w="3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8"/>
                <w:szCs w:val="18"/>
              </w:rPr>
              <w:t xml:space="preserve">Development; value-add</w:t>
            </w:r>
          </w:p>
        </w:tc>
        <w:tc>
          <w:tcPr>
            <w:tcW w:type="dxa" w:w="3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8"/>
                <w:szCs w:val="18"/>
              </w:rPr>
              <w:t xml:space="preserve">Phase 1 (MVP)</w:t>
            </w:r>
          </w:p>
        </w:tc>
      </w:tr>
      <w:tr>
        <w:tc>
          <w:tcPr>
            <w:tcW w:type="dxa" w:w="26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b/>
                <w:bCs/>
                <w:color w:val="1F3A5F"/>
                <w:sz w:val="18"/>
                <w:szCs w:val="18"/>
              </w:rPr>
              <w:t xml:space="preserve">Venture capital</w:t>
            </w:r>
          </w:p>
        </w:tc>
        <w:tc>
          <w:tcPr>
            <w:tcW w:type="dxa" w:w="3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8"/>
                <w:szCs w:val="18"/>
              </w:rPr>
              <w:t xml:space="preserve">Startup / early-stage equity</w:t>
            </w:r>
          </w:p>
        </w:tc>
        <w:tc>
          <w:tcPr>
            <w:tcW w:type="dxa" w:w="3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8"/>
                <w:szCs w:val="18"/>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F3A5F"/>
                <w:sz w:val="18"/>
                <w:szCs w:val="18"/>
              </w:rPr>
              <w:t xml:space="preserve">Private lending</w:t>
            </w:r>
          </w:p>
        </w:tc>
        <w:tc>
          <w:tcPr>
            <w:tcW w:type="dxa" w:w="3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8"/>
                <w:szCs w:val="18"/>
              </w:rPr>
              <w:t xml:space="preserve">Loans to non-bankable borrowers</w:t>
            </w:r>
          </w:p>
        </w:tc>
        <w:tc>
          <w:tcPr>
            <w:tcW w:type="dxa" w:w="3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8"/>
                <w:szCs w:val="18"/>
              </w:rPr>
              <w:t xml:space="preserve">Phase 2</w:t>
            </w:r>
          </w:p>
        </w:tc>
      </w:tr>
      <w:tr>
        <w:tc>
          <w:tcPr>
            <w:tcW w:type="dxa" w:w="26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b/>
                <w:bCs/>
                <w:color w:val="1F3A5F"/>
                <w:sz w:val="18"/>
                <w:szCs w:val="18"/>
              </w:rPr>
              <w:t xml:space="preserve">Real estate hedge funds</w:t>
            </w:r>
          </w:p>
        </w:tc>
        <w:tc>
          <w:tcPr>
            <w:tcW w:type="dxa" w:w="3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8"/>
                <w:szCs w:val="18"/>
              </w:rPr>
              <w:t xml:space="preserve">Fund-level allocations</w:t>
            </w:r>
          </w:p>
        </w:tc>
        <w:tc>
          <w:tcPr>
            <w:tcW w:type="dxa" w:w="3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8"/>
                <w:szCs w:val="18"/>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F3A5F"/>
                <w:sz w:val="18"/>
                <w:szCs w:val="18"/>
              </w:rPr>
              <w:t xml:space="preserve">Sports</w:t>
            </w:r>
          </w:p>
        </w:tc>
        <w:tc>
          <w:tcPr>
            <w:tcW w:type="dxa" w:w="3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8"/>
                <w:szCs w:val="18"/>
              </w:rPr>
              <w:t xml:space="preserve">TBD</w:t>
            </w:r>
          </w:p>
        </w:tc>
        <w:tc>
          <w:tcPr>
            <w:tcW w:type="dxa" w:w="3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8"/>
                <w:szCs w:val="18"/>
              </w:rPr>
              <w:t xml:space="preserve">Phase 3 (later)</w:t>
            </w:r>
          </w:p>
        </w:tc>
      </w:tr>
    </w:tbl>
    <w:p>
      <w:pPr>
        <w:pStyle w:val="Heading2"/>
      </w:pPr>
      <w:r>
        <w:t xml:space="preserve">What the dashboard outputs</w:t>
      </w:r>
    </w:p>
    <w:p>
      <w:pPr>
        <w:spacing w:after="120"/>
      </w:pPr>
      <w:r>
        <w:rPr>
          <w:sz w:val="21"/>
          <w:szCs w:val="21"/>
        </w:rPr>
        <w:t xml:space="preserve">For each opportunity the model should return: (1) probability of achieving the target return (e.g. P(IRR ≥ 20%)); (2) expected/median return; (3) downside risk — probability and size of loss; (4) a confidence level reflecting how much comparable history backs the estimate; (5) the top factors driving the score, so the user sees why; and (6) a suggested position size — the “right amount to invest” given the probability, the downside, and how the opportunity correlates with the rest of the book.</w:t>
      </w:r>
    </w:p>
    <w:p>
      <w:pPr>
        <w:spacing w:after="120"/>
      </w:pPr>
      <w:r>
        <w:rPr>
          <w:b/>
          <w:bCs/>
          <w:color w:val="1F3A5F"/>
          <w:sz w:val="21"/>
          <w:szCs w:val="21"/>
        </w:rPr>
        <w:t xml:space="preserve">Unit of analysis — open question: </w:t>
      </w:r>
      <w:r>
        <w:rPr>
          <w:sz w:val="21"/>
          <w:szCs w:val="21"/>
        </w:rPr>
        <w:t xml:space="preserve">The notes are ambiguous about whether the client scores individual deals (one startup, one loan, one property) or the investment companies/funds he allocates to (a VC firm, a lender, a RE hedge fund). It changes the data and the model materially: fund-level scoring is more tractable because fund track records are purchasable (Preqin, MSCI) and it avoids per-startup prediction, whereas deal-level scoring leans on his own deal history. The platform should be designed to support both — score an entity from its track record, or a single deal from comparable deals — and this should be confirmed with the client before scope is locked.</w:t>
      </w:r>
    </w:p>
    <w:p>
      <w:pPr>
        <w:pStyle w:val="Heading2"/>
      </w:pPr>
      <w:r>
        <w:t xml:space="preserve">Two human inputs the model depends on</w:t>
      </w:r>
    </w:p>
    <w:p>
      <w:pPr>
        <w:spacing w:after="120"/>
      </w:pPr>
      <w:r>
        <w:rPr>
          <w:b/>
          <w:bCs/>
          <w:color w:val="1F3A5F"/>
          <w:sz w:val="21"/>
          <w:szCs w:val="21"/>
        </w:rPr>
        <w:t xml:space="preserve">DDQ (due-diligence questionnaire): </w:t>
      </w:r>
      <w:r>
        <w:rPr>
          <w:sz w:val="21"/>
          <w:szCs w:val="21"/>
        </w:rPr>
        <w:t xml:space="preserve">A structured intake that converts each deal’s qualitative facts — sponsor track record, deal structure, terms, risks — into consistent fields the model can use. The DDQ is how qualitative information enters the model in a comparable way.</w:t>
      </w:r>
    </w:p>
    <w:p>
      <w:pPr>
        <w:spacing w:after="120"/>
      </w:pPr>
      <w:r>
        <w:rPr>
          <w:b/>
          <w:bCs/>
          <w:color w:val="1F3A5F"/>
          <w:sz w:val="21"/>
          <w:szCs w:val="21"/>
        </w:rPr>
        <w:t xml:space="preserve">Analyst role: </w:t>
      </w:r>
      <w:r>
        <w:rPr>
          <w:sz w:val="21"/>
          <w:szCs w:val="21"/>
        </w:rPr>
        <w:t xml:space="preserve">A human keeps the model current: ingesting new outcomes, encoding qualitative judgment (“qualitive and quantize”), and sanity-checking scores. For alternatives, much of the signal is judgment, not clean data — so this role is core, not optional.</w:t>
      </w:r>
    </w:p>
    <w:p>
      <w:pPr>
        <w:pStyle w:val="Heading2"/>
      </w:pPr>
      <w:r>
        <w:t xml:space="preserve">Transparency and edge — and the tension between them</w:t>
      </w:r>
    </w:p>
    <w:p>
      <w:pPr>
        <w:spacing w:after="140"/>
      </w:pPr>
      <w:r>
        <w:rPr>
          <w:sz w:val="21"/>
          <w:szCs w:val="21"/>
        </w:rPr>
        <w:t xml:space="preserve">Transparency means every score is explainable: the user can see which factors moved it. The edge comes from proprietary inputs — the client’s own deal history plus analyst-curated qualitative data — not from a secret algorithm. These pull in opposite directions only if the “edge” is meant to be a black box; framing the edge as proprietary data keeps both promises intact.</w:t>
      </w:r>
    </w:p>
    <w:p>
      <w:r>
        <w:br w:type="page"/>
      </w:r>
    </w:p>
    <w:p>
      <w:pPr>
        <w:pStyle w:val="Heading1"/>
      </w:pPr>
      <w:r>
        <w:t xml:space="preserve">Part B — Data Feasibility Map</w:t>
      </w:r>
    </w:p>
    <w:p>
      <w:pPr>
        <w:spacing w:after="140"/>
      </w:pPr>
      <w:r>
        <w:rPr>
          <w:sz w:val="21"/>
          <w:szCs w:val="21"/>
        </w:rPr>
        <w:t xml:space="preserve">A “% likelihood” score is only as credible as the historical track-record data behind it. Data availability varies enormously by asset class — this is the pivotal question for whether the product is buildable as described.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2980"/>
        <w:gridCol w:w="1300"/>
        <w:gridCol w:w="1500"/>
        <w:gridCol w:w="2200"/>
      </w:tblGrid>
      <w:tr>
        <w:trPr>
          <w:tblHeader/>
        </w:trPr>
        <w:tc>
          <w:tcPr>
            <w:tcW w:type="dxa" w:w="138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r>
              <w:rPr>
                <w:b/>
                <w:bCs/>
                <w:color w:val="FFFFFF"/>
                <w:sz w:val="17"/>
                <w:szCs w:val="17"/>
              </w:rPr>
              <w:t xml:space="preserve">Asset class</w:t>
            </w:r>
          </w:p>
        </w:tc>
        <w:tc>
          <w:tcPr>
            <w:tcW w:type="dxa" w:w="298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r>
              <w:rPr>
                <w:b/>
                <w:bCs/>
                <w:color w:val="FFFFFF"/>
                <w:sz w:val="17"/>
                <w:szCs w:val="17"/>
              </w:rPr>
              <w:t xml:space="preserve">Key data / providers</w:t>
            </w:r>
          </w:p>
        </w:tc>
        <w:tc>
          <w:tcPr>
            <w:tcW w:type="dxa" w:w="13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r>
              <w:rPr>
                <w:b/>
                <w:bCs/>
                <w:color w:val="FFFFFF"/>
                <w:sz w:val="17"/>
                <w:szCs w:val="17"/>
              </w:rPr>
              <w:t xml:space="preserve">API access</w:t>
            </w:r>
          </w:p>
        </w:tc>
        <w:tc>
          <w:tcPr>
            <w:tcW w:type="dxa" w:w="15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r>
              <w:rPr>
                <w:b/>
                <w:bCs/>
                <w:color w:val="FFFFFF"/>
                <w:sz w:val="17"/>
                <w:szCs w:val="17"/>
              </w:rPr>
              <w:t xml:space="preserve">Rough cost</w:t>
            </w:r>
          </w:p>
        </w:tc>
        <w:tc>
          <w:tcPr>
            <w:tcW w:type="dxa" w:w="22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tcPr>
          <w:p>
            <w:r>
              <w:rPr>
                <w:b/>
                <w:bCs/>
                <w:color w:val="FFFFFF"/>
                <w:sz w:val="17"/>
                <w:szCs w:val="17"/>
              </w:rPr>
              <w:t xml:space="preserve">Feasibility &amp; gaps</w:t>
            </w:r>
          </w:p>
        </w:tc>
      </w:tr>
      <w:tr>
        <w:tc>
          <w:tcPr>
            <w:tcW w:type="dxa" w:w="1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F3A5F"/>
                <w:sz w:val="16"/>
                <w:szCs w:val="16"/>
              </w:rPr>
              <w:t xml:space="preserve">Residential RE</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US Census ACS (demographics/income); RentCast (price/rent/value)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Yes, public/REST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Free – ~$74/mo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Strong. Clean, API-first. Lowest-friction starting point.</w:t>
            </w:r>
          </w:p>
        </w:tc>
      </w:tr>
      <w:tr>
        <w:tc>
          <w:tcPr>
            <w:tcW w:type="dxa" w:w="1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b/>
                <w:bCs/>
                <w:color w:val="1F3A5F"/>
                <w:sz w:val="16"/>
                <w:szCs w:val="16"/>
              </w:rPr>
              <w:t xml:space="preserve">Commercial / dev / value-add RE</w:t>
            </w:r>
          </w:p>
        </w:tc>
        <w:tc>
          <w:tcPr>
            <w:tcW w:type="dxa" w:w="29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CoStar; Reonomy; ATTOM; MSCI Real Capital Analytics (8,000+ RE funds, fund performance/LP)</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Yes, but gated; subscription</w:t>
            </w:r>
          </w:p>
        </w:tc>
        <w:tc>
          <w:tcPr>
            <w:tcW w:type="dxa" w:w="1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 hundreds–thousands / mo</w:t>
            </w:r>
          </w:p>
        </w:tc>
        <w:tc>
          <w:tcPr>
            <w:tcW w:type="dxa" w:w="22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Feasible. Institutional CRE data is available but costly and access-controlled.</w:t>
            </w:r>
          </w:p>
        </w:tc>
      </w:tr>
      <w:tr>
        <w:tc>
          <w:tcPr>
            <w:tcW w:type="dxa" w:w="1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F3A5F"/>
                <w:sz w:val="16"/>
                <w:szCs w:val="16"/>
              </w:rPr>
              <w:t xml:space="preserve">Venture capital / startups</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PitchBook (filings-sourced); Preqin; Crunchbase (self-reported); CB Insights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PitchBook/Preqin API in higher tiers; Crunchbase API low-tier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Crunchbase ~$600/yr; PitchBook ~$12k–$70k+/yr; Preqin ~$25k–$81k/yr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Hard. Data exists but expensive, survivorship-biased; single-startup outcome is intrinsically high-variance (power-law).</w:t>
            </w:r>
          </w:p>
        </w:tc>
      </w:tr>
      <w:tr>
        <w:tc>
          <w:tcPr>
            <w:tcW w:type="dxa" w:w="1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b/>
                <w:bCs/>
                <w:color w:val="1F3A5F"/>
                <w:sz w:val="16"/>
                <w:szCs w:val="16"/>
              </w:rPr>
              <w:t xml:space="preserve">Private lending / credit</w:t>
            </w:r>
          </w:p>
        </w:tc>
        <w:tc>
          <w:tcPr>
            <w:tcW w:type="dxa" w:w="29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Bloomberg Private Direct Lending (15k+ loans); KBRA Direct Lending API; Houlihan Lokey Private Credit DataBank (60k+ valuations, 200+ fields)</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Yes (REST/SFTP/cloud, data-license)</w:t>
            </w:r>
          </w:p>
        </w:tc>
        <w:tc>
          <w:tcPr>
            <w:tcW w:type="dxa" w:w="1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Enterprise / custom (institutional)</w:t>
            </w:r>
          </w:p>
        </w:tc>
        <w:tc>
          <w:tcPr>
            <w:tcW w:type="dxa" w:w="22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Mixed. Institutional feeds now exist. BUT if client lends directly to non-prime borrowers, the real data is his own loan book — first-party, not purchasable.</w:t>
            </w:r>
          </w:p>
        </w:tc>
      </w:tr>
      <w:tr>
        <w:tc>
          <w:tcPr>
            <w:tcW w:type="dxa" w:w="13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color w:val="1F3A5F"/>
                <w:sz w:val="16"/>
                <w:szCs w:val="16"/>
              </w:rPr>
              <w:t xml:space="preserve">RE hedge funds / alt funds</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Preqin (PE, hedge, RE, infra); MSCI Real Capital Analytics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Custom data feed / API</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~$25k–$81k/yr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Mixed. Fund-level returns are self-reported → survivorship &amp; backfill bias. Usable for benchmarking, weak for prediction.</w:t>
            </w:r>
          </w:p>
        </w:tc>
      </w:tr>
      <w:tr>
        <w:tc>
          <w:tcPr>
            <w:tcW w:type="dxa" w:w="13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b/>
                <w:bCs/>
                <w:color w:val="1F3A5F"/>
                <w:sz w:val="16"/>
                <w:szCs w:val="16"/>
              </w:rPr>
              <w:t xml:space="preserve">Sports (later)</w:t>
            </w:r>
          </w:p>
        </w:tc>
        <w:tc>
          <w:tcPr>
            <w:tcW w:type="dxa" w:w="298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No standard institutional feed; bespoke</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w:t>
            </w:r>
          </w:p>
        </w:tc>
        <w:tc>
          <w:tcPr>
            <w:tcW w:type="dxa" w:w="15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w:t>
            </w:r>
          </w:p>
        </w:tc>
        <w:tc>
          <w:tcPr>
            <w:tcW w:type="dxa" w:w="22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r>
              <w:rPr>
                <w:sz w:val="16"/>
                <w:szCs w:val="16"/>
              </w:rPr>
              <w:t xml:space="preserve">Defer. Treat as a future vertical once the framework is proven.</w:t>
            </w:r>
          </w:p>
        </w:tc>
      </w:tr>
    </w:tbl>
    <w:p>
      <w:pPr>
        <w:spacing w:before="80"/>
      </w:pPr>
    </w:p>
    <w:p>
      <w:pPr>
        <w:pBdr>
          <w:left w:val="single" w:color="8A5A00" w:sz="18" w:space="6"/>
        </w:pBdr>
        <w:shd w:fill="FFF6E5" w:val="clear"/>
        <w:spacing w:after="160" w:before="120"/>
        <w:ind w:left="160"/>
      </w:pPr>
      <w:r>
        <w:rPr>
          <w:b/>
          <w:bCs/>
          <w:color w:val="8A5A00"/>
          <w:sz w:val="20"/>
          <w:szCs w:val="20"/>
        </w:rPr>
        <w:t xml:space="preserve">Cost reality:  </w:t>
      </w:r>
      <w:r>
        <w:rPr>
          <w:sz w:val="20"/>
          <w:szCs w:val="20"/>
        </w:rPr>
        <w:t xml:space="preserve">Institutional alternative-investment data runs roughly $25k–$80k+ per year per provider. Covering VC, private credit, and RE funds properly means several providers — plausibly six figures a year in data alone before any modelling. The business case has to clear that bar.</w:t>
      </w:r>
    </w:p>
    <w:p>
      <w:pPr>
        <w:pBdr>
          <w:left w:val="single" w:color="8A5A00" w:sz="18" w:space="6"/>
        </w:pBdr>
        <w:shd w:fill="FFF6E5" w:val="clear"/>
        <w:spacing w:after="160" w:before="120"/>
        <w:ind w:left="160"/>
      </w:pPr>
      <w:r>
        <w:rPr>
          <w:b/>
          <w:bCs/>
          <w:color w:val="8A5A00"/>
          <w:sz w:val="20"/>
          <w:szCs w:val="20"/>
        </w:rPr>
        <w:t xml:space="preserve">The real moat:  </w:t>
      </w:r>
      <w:r>
        <w:rPr>
          <w:sz w:val="20"/>
          <w:szCs w:val="20"/>
        </w:rPr>
        <w:t xml:space="preserve">For the client’s own deal types — especially private lending and his own RE deals — the most valuable dataset is his own historical investment outcomes, which competitors can’t buy. Capturing and structuring that (via the DDQ) is likely the genuine edge. Purchased feeds provide market context and benchmarks, not the proprietary signal.</w:t>
      </w:r>
    </w:p>
    <w:p>
      <w:pPr>
        <w:pBdr>
          <w:left w:val="single" w:color="8A5A00" w:sz="18" w:space="6"/>
        </w:pBdr>
        <w:shd w:fill="FFF6E5" w:val="clear"/>
        <w:spacing w:after="160" w:before="120"/>
        <w:ind w:left="160"/>
      </w:pPr>
      <w:r>
        <w:rPr>
          <w:b/>
          <w:bCs/>
          <w:color w:val="8A5A00"/>
          <w:sz w:val="20"/>
          <w:szCs w:val="20"/>
        </w:rPr>
        <w:t xml:space="preserve">Fund vs. deal lever:  </w:t>
      </w:r>
      <w:r>
        <w:rPr>
          <w:sz w:val="20"/>
          <w:szCs w:val="20"/>
        </w:rPr>
        <w:t xml:space="preserve">If the client is scoring funds/companies rather than individual deals, feasibility improves sharply for the hardest verticals — VC and RE hedge funds become a fund-track-record problem (Preqin, MSCI), not a per-startup prediction problem. Confirming this one point may decide whether Phase 2 is affordable.</w:t>
      </w:r>
    </w:p>
    <w:p>
      <w:pPr>
        <w:pStyle w:val="Heading1"/>
      </w:pPr>
      <w:r>
        <w:t xml:space="preserve">Part C — Model Approach</w:t>
      </w:r>
    </w:p>
    <w:p>
      <w:pPr>
        <w:pStyle w:val="Heading2"/>
      </w:pPr>
      <w:r>
        <w:t xml:space="preserve">Define the output precisely</w:t>
      </w:r>
    </w:p>
    <w:p>
      <w:pPr>
        <w:spacing w:after="140"/>
      </w:pPr>
      <w:r>
        <w:rPr>
          <w:sz w:val="21"/>
          <w:szCs w:val="21"/>
        </w:rPr>
        <w:t xml:space="preserve">The client’s question — “how much risk to earn 20%” — is a probability-of-target-return problem. The model estimates a distribution of possible returns for an opportunity, then reads off: P(return ≥ target), the expected return, and downside measures (probability of loss, value-at-risk). Risk is the spread and the downside tail, not a single number.</w:t>
      </w:r>
    </w:p>
    <w:p>
      <w:pPr>
        <w:pStyle w:val="Heading2"/>
      </w:pPr>
      <w:r>
        <w:t xml:space="preserve">How it works</w:t>
      </w:r>
    </w:p>
    <w:p>
      <w:pPr>
        <w:spacing w:after="120"/>
      </w:pPr>
      <w:r>
        <w:rPr>
          <w:b/>
          <w:bCs/>
          <w:color w:val="1F3A5F"/>
          <w:sz w:val="21"/>
          <w:szCs w:val="21"/>
        </w:rPr>
        <w:t xml:space="preserve">Distributional / Monte Carlo core: </w:t>
      </w:r>
      <w:r>
        <w:rPr>
          <w:sz w:val="21"/>
          <w:szCs w:val="21"/>
        </w:rPr>
        <w:t xml:space="preserve">Simulate thousands of return scenarios (commonly 1,000–10,000 runs) from inputs like expected return, volatility, and cross-asset correlations, then compute the probability of clearing the target and the downside tail. This is the standard, well-understood method for probability-of-target-return and value-at-risk.</w:t>
      </w:r>
    </w:p>
    <w:p>
      <w:pPr>
        <w:spacing w:after="120"/>
      </w:pPr>
      <w:r>
        <w:rPr>
          <w:b/>
          <w:bCs/>
          <w:color w:val="1F3A5F"/>
          <w:sz w:val="21"/>
          <w:szCs w:val="21"/>
        </w:rPr>
        <w:t xml:space="preserve">Learned inputs: </w:t>
      </w:r>
      <w:r>
        <w:rPr>
          <w:sz w:val="21"/>
          <w:szCs w:val="21"/>
        </w:rPr>
        <w:t xml:space="preserve">Rather than guess the inputs, fit them from the historical deal data per asset class — a model that maps deal + market features to expected return and risk. Start simple and interpretable; add complexity only where data volume justifies it.</w:t>
      </w:r>
    </w:p>
    <w:p>
      <w:pPr>
        <w:spacing w:after="120"/>
      </w:pPr>
      <w:r>
        <w:rPr>
          <w:b/>
          <w:bCs/>
          <w:color w:val="1F3A5F"/>
          <w:sz w:val="21"/>
          <w:szCs w:val="21"/>
        </w:rPr>
        <w:t xml:space="preserve">Cross-market correlation: </w:t>
      </w:r>
      <w:r>
        <w:rPr>
          <w:sz w:val="21"/>
          <w:szCs w:val="21"/>
        </w:rPr>
        <w:t xml:space="preserve">The notes call for correlating across markets to find probability. Model how asset classes move together (e.g. rates affecting both RE and private credit) so portfolio-level risk isn’t understated — correlations are an explicit Monte Carlo input.</w:t>
      </w:r>
    </w:p>
    <w:p>
      <w:pPr>
        <w:spacing w:after="120"/>
      </w:pPr>
      <w:r>
        <w:rPr>
          <w:b/>
          <w:bCs/>
          <w:color w:val="1F3A5F"/>
          <w:sz w:val="21"/>
          <w:szCs w:val="21"/>
        </w:rPr>
        <w:t xml:space="preserve">Qualitative + quantitative fusion: </w:t>
      </w:r>
      <w:r>
        <w:rPr>
          <w:sz w:val="21"/>
          <w:szCs w:val="21"/>
        </w:rPr>
        <w:t xml:space="preserve">Quantitative feeds set the base rates; the DDQ and analyst inputs adjust them per deal. Keeping qualitative inputs as explicit, structured features (not free text) preserves transparency.</w:t>
      </w:r>
    </w:p>
    <w:p>
      <w:pPr>
        <w:spacing w:after="120"/>
      </w:pPr>
      <w:r>
        <w:rPr>
          <w:b/>
          <w:bCs/>
          <w:color w:val="1F3A5F"/>
          <w:sz w:val="21"/>
          <w:szCs w:val="21"/>
        </w:rPr>
        <w:t xml:space="preserve">Position sizing — the “right amount to invest”: </w:t>
      </w:r>
      <w:r>
        <w:rPr>
          <w:sz w:val="21"/>
          <w:szCs w:val="21"/>
        </w:rPr>
        <w:t xml:space="preserve">This is a second output layered on the probability score. Given the probability of hitting the target, the size of the downside, and how the opportunity correlates with the existing book, the model suggests how much capital to commit — a risk-budgeted allocation (Kelly-style sizing, capped for prudence). Keep it advisory and transparent: show the inputs, never auto-commit capital. This directly answers the client’s “what is the right amount of investment for a return.”</w:t>
      </w:r>
    </w:p>
    <w:p>
      <w:pPr>
        <w:pStyle w:val="Heading2"/>
      </w:pPr>
      <w:r>
        <w:t xml:space="preserve">Keeping it transparent</w:t>
      </w:r>
    </w:p>
    <w:p>
      <w:pPr>
        <w:spacing w:after="140"/>
      </w:pPr>
      <w:r>
        <w:rPr>
          <w:sz w:val="21"/>
          <w:szCs w:val="21"/>
        </w:rPr>
        <w:t xml:space="preserve">Favor interpretable models and per-prediction factor attribution so each score comes with its drivers. A glass-box scorecard that everyone can audit will sell better to investors than a higher-accuracy black box they can’t question — and it matches the client’s transparency goal.</w:t>
      </w:r>
    </w:p>
    <w:p>
      <w:pPr>
        <w:pStyle w:val="Heading2"/>
      </w:pPr>
      <w:r>
        <w:t xml:space="preserve">Honest limits to set with the client</w:t>
      </w:r>
    </w:p>
    <w:p>
      <w:pPr>
        <w:pStyle w:val="ListParagraph"/>
        <w:numPr>
          <w:ilvl w:val="0"/>
          <w:numId w:val="2"/>
        </w:numPr>
        <w:spacing w:after="60"/>
      </w:pPr>
      <w:r>
        <w:rPr>
          <w:sz w:val="21"/>
          <w:szCs w:val="21"/>
        </w:rPr>
        <w:t xml:space="preserve">Small numbers: a single startup’s outcome is near-unpredictable (power-law); VC scoring works at portfolio level, not per-deal certainty.</w:t>
      </w:r>
    </w:p>
    <w:p>
      <w:pPr>
        <w:pStyle w:val="ListParagraph"/>
        <w:numPr>
          <w:ilvl w:val="0"/>
          <w:numId w:val="2"/>
        </w:numPr>
        <w:spacing w:after="60"/>
      </w:pPr>
      <w:r>
        <w:rPr>
          <w:sz w:val="21"/>
          <w:szCs w:val="21"/>
        </w:rPr>
        <w:t xml:space="preserve">Survivorship &amp; self-reporting bias in fund and VC data inflates apparent returns; must be corrected for or the probabilities are optimistic.</w:t>
      </w:r>
    </w:p>
    <w:p>
      <w:pPr>
        <w:pStyle w:val="ListParagraph"/>
        <w:numPr>
          <w:ilvl w:val="0"/>
          <w:numId w:val="2"/>
        </w:numPr>
        <w:spacing w:after="60"/>
      </w:pPr>
      <w:r>
        <w:rPr>
          <w:sz w:val="21"/>
          <w:szCs w:val="21"/>
        </w:rPr>
        <w:t xml:space="preserve">No model here predicts macro shocks (rate moves, recessions, policy) — these feeds don’t contain them. The tool forecasts conditional, relative risk, not market timing.</w:t>
      </w:r>
    </w:p>
    <w:p>
      <w:pPr>
        <w:pStyle w:val="ListParagraph"/>
        <w:numPr>
          <w:ilvl w:val="0"/>
          <w:numId w:val="2"/>
        </w:numPr>
        <w:spacing w:after="60"/>
      </w:pPr>
      <w:r>
        <w:rPr>
          <w:sz w:val="21"/>
          <w:szCs w:val="21"/>
        </w:rPr>
        <w:t xml:space="preserve">Thin history = wide confidence intervals. Early scores in a new vertical should be shown with low confidence, not false precision.</w:t>
      </w:r>
    </w:p>
    <w:p>
      <w:pPr>
        <w:pStyle w:val="Heading1"/>
      </w:pPr>
      <w:r>
        <w:t xml:space="preserve">Recommended next steps</w:t>
      </w:r>
    </w:p>
    <w:p>
      <w:pPr>
        <w:pStyle w:val="ListParagraph"/>
        <w:numPr>
          <w:ilvl w:val="0"/>
          <w:numId w:val="3"/>
        </w:numPr>
        <w:spacing w:after="60"/>
      </w:pPr>
      <w:r>
        <w:rPr>
          <w:sz w:val="21"/>
          <w:szCs w:val="21"/>
        </w:rPr>
        <w:t xml:space="preserve">Build Phase 1 on real estate, where data is cleanest and cheapest, to prove the framework end-to-end (DDQ → model → explainable score).</w:t>
      </w:r>
    </w:p>
    <w:p>
      <w:pPr>
        <w:pStyle w:val="ListParagraph"/>
        <w:numPr>
          <w:ilvl w:val="0"/>
          <w:numId w:val="3"/>
        </w:numPr>
        <w:spacing w:after="60"/>
      </w:pPr>
      <w:r>
        <w:rPr>
          <w:sz w:val="21"/>
          <w:szCs w:val="21"/>
        </w:rPr>
        <w:t xml:space="preserve">Confirm the unit of analysis: is he scoring individual deals, the funds/companies he allocates to, or both? This decides Phase-2 data cost and how the model is built.</w:t>
      </w:r>
    </w:p>
    <w:p>
      <w:pPr>
        <w:pStyle w:val="ListParagraph"/>
        <w:numPr>
          <w:ilvl w:val="0"/>
          <w:numId w:val="3"/>
        </w:numPr>
        <w:spacing w:after="60"/>
      </w:pPr>
      <w:r>
        <w:rPr>
          <w:sz w:val="21"/>
          <w:szCs w:val="21"/>
        </w:rPr>
        <w:t xml:space="preserve">Get from the client: which metrics he uses today, his target-return definition (IRR? cash-on-cash?), and — critically — whether he can supply his own historical deal outcomes. That dataset likely matters more than any purchased feed.</w:t>
      </w:r>
    </w:p>
    <w:p>
      <w:pPr>
        <w:pStyle w:val="ListParagraph"/>
        <w:numPr>
          <w:ilvl w:val="0"/>
          <w:numId w:val="3"/>
        </w:numPr>
        <w:spacing w:after="60"/>
      </w:pPr>
      <w:r>
        <w:rPr>
          <w:sz w:val="21"/>
          <w:szCs w:val="21"/>
        </w:rPr>
        <w:t xml:space="preserve">Price the data: confirm current API terms for one provider per Phase-2 asset class (PitchBook/Preqin, Bloomberg/KBRA) so the data budget is real before committing scope.</w:t>
      </w:r>
    </w:p>
    <w:p>
      <w:pPr>
        <w:pStyle w:val="ListParagraph"/>
        <w:numPr>
          <w:ilvl w:val="0"/>
          <w:numId w:val="3"/>
        </w:numPr>
        <w:spacing w:after="60"/>
      </w:pPr>
      <w:r>
        <w:rPr>
          <w:sz w:val="21"/>
          <w:szCs w:val="21"/>
        </w:rPr>
        <w:t xml:space="preserve">Set expectations on what the score can and cannot do (the limits above) in writing, early.</w:t>
      </w:r>
    </w:p>
    <w:p>
      <w:pPr>
        <w:spacing w:after="0" w:before="240"/>
      </w:pPr>
      <w:r>
        <w:rPr>
          <w:b/>
          <w:bCs/>
          <w:color w:val="555555"/>
          <w:sz w:val="15"/>
          <w:szCs w:val="15"/>
        </w:rPr>
        <w:t xml:space="preserve">Sources: </w:t>
      </w:r>
      <w:hyperlink w:history="1" r:id="rIdsmnsmecmguofahctayee0">
        <w:r>
          <w:rPr>
            <w:rStyle w:val="Hyperlink"/>
            <w:sz w:val="15"/>
            <w:szCs w:val="15"/>
          </w:rPr>
          <w:t xml:space="preserve">PitchBook pricing</w:t>
        </w:r>
      </w:hyperlink>
      <w:r>
        <w:rPr>
          <w:color w:val="555555"/>
          <w:sz w:val="15"/>
          <w:szCs w:val="15"/>
        </w:rPr>
        <w:t xml:space="preserve">  •  </w:t>
      </w:r>
      <w:hyperlink w:history="1" r:id="rIdzt-zgpqc4np_gjgmi1cox">
        <w:r>
          <w:rPr>
            <w:rStyle w:val="Hyperlink"/>
            <w:sz w:val="15"/>
            <w:szCs w:val="15"/>
          </w:rPr>
          <w:t xml:space="preserve">Preqin</w:t>
        </w:r>
      </w:hyperlink>
      <w:r>
        <w:rPr>
          <w:color w:val="555555"/>
          <w:sz w:val="15"/>
          <w:szCs w:val="15"/>
        </w:rPr>
        <w:t xml:space="preserve">  •  </w:t>
      </w:r>
      <w:hyperlink w:history="1" r:id="rIdmnqdkgf0_jy3ywsmachf8">
        <w:r>
          <w:rPr>
            <w:rStyle w:val="Hyperlink"/>
            <w:sz w:val="15"/>
            <w:szCs w:val="15"/>
          </w:rPr>
          <w:t xml:space="preserve">Bloomberg private credit data</w:t>
        </w:r>
      </w:hyperlink>
      <w:r>
        <w:rPr>
          <w:color w:val="555555"/>
          <w:sz w:val="15"/>
          <w:szCs w:val="15"/>
        </w:rPr>
        <w:t xml:space="preserve">  •  </w:t>
      </w:r>
      <w:hyperlink w:history="1" r:id="rIdp6tr93m-smyew6wcligbh">
        <w:r>
          <w:rPr>
            <w:rStyle w:val="Hyperlink"/>
            <w:sz w:val="15"/>
            <w:szCs w:val="15"/>
          </w:rPr>
          <w:t xml:space="preserve">KBRA Direct Lending</w:t>
        </w:r>
      </w:hyperlink>
      <w:r>
        <w:rPr>
          <w:color w:val="555555"/>
          <w:sz w:val="15"/>
          <w:szCs w:val="15"/>
        </w:rPr>
        <w:t xml:space="preserve">  •  </w:t>
      </w:r>
      <w:hyperlink w:history="1" r:id="rIdos1-erpkhy1m_vknbffmu">
        <w:r>
          <w:rPr>
            <w:rStyle w:val="Hyperlink"/>
            <w:sz w:val="15"/>
            <w:szCs w:val="15"/>
          </w:rPr>
          <w:t xml:space="preserve">CoStar</w:t>
        </w:r>
      </w:hyperlink>
      <w:r>
        <w:rPr>
          <w:color w:val="555555"/>
          <w:sz w:val="15"/>
          <w:szCs w:val="15"/>
        </w:rPr>
        <w:t xml:space="preserve">  •  </w:t>
      </w:r>
      <w:hyperlink w:history="1" r:id="rId3rqmtg8f3y-pgqhx9b3cu">
        <w:r>
          <w:rPr>
            <w:rStyle w:val="Hyperlink"/>
            <w:sz w:val="15"/>
            <w:szCs w:val="15"/>
          </w:rPr>
          <w:t xml:space="preserve">MSCI Real Capital Analytics</w:t>
        </w:r>
      </w:hyperlink>
    </w:p>
    <w:p>
      <w:pPr>
        <w:spacing w:before="60"/>
      </w:pPr>
      <w:r>
        <w:rPr>
          <w:i/>
          <w:iCs/>
          <w:color w:val="555555"/>
          <w:sz w:val="15"/>
          <w:szCs w:val="15"/>
        </w:rPr>
        <w:t xml:space="preserve">Pricing and API terms above are from public sources and vendor pages as of June 2026; confirm current figures directly with each provider before they inform a budget or client quote.</w:t>
      </w:r>
    </w:p>
    <w:sectPr>
      <w:footerReference w:type="default" r:id="rId7"/>
      <w:pgSz w:w="12240" w:h="15840" w:orient="portrait"/>
      <w:pgMar w:top="1080" w:right="1320" w:bottom="10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AI Investment Due-Diligence Platform — internal scoping, June 2026  •  page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A5F"/>
      <w:sz w:val="28"/>
      <w:szCs w:val="28"/>
    </w:rPr>
  </w:style>
  <w:style w:type="paragraph" w:styleId="Heading2">
    <w:name w:val="Heading 2"/>
    <w:basedOn w:val="Normal"/>
    <w:next w:val="Normal"/>
    <w:qFormat/>
    <w:pPr>
      <w:spacing w:after="90" w:before="200"/>
      <w:outlineLvl w:val="1"/>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mnsmecmguofahctayee0" Type="http://schemas.openxmlformats.org/officeDocument/2006/relationships/hyperlink" Target="https://costbench.com/software/financial-data-terminals/pitchbook/" TargetMode="External"/><Relationship Id="rIdzt-zgpqc4np_gjgmi1cox" Type="http://schemas.openxmlformats.org/officeDocument/2006/relationships/hyperlink" Target="https://www.vendr.com/marketplace/preqin" TargetMode="External"/><Relationship Id="rIdmnqdkgf0_jy3ywsmachf8" Type="http://schemas.openxmlformats.org/officeDocument/2006/relationships/hyperlink" Target="https://www.bloomberg.com/company/press/bloomberg-introduces-comprehensive-private-direct-lending-data-for-deeper-private-credit-market-insights/" TargetMode="External"/><Relationship Id="rIdp6tr93m-smyew6wcligbh" Type="http://schemas.openxmlformats.org/officeDocument/2006/relationships/hyperlink" Target="https://www.kbra.com/analytics/products/dld" TargetMode="External"/><Relationship Id="rIdos1-erpkhy1m_vknbffmu" Type="http://schemas.openxmlformats.org/officeDocument/2006/relationships/hyperlink" Target="https://www.costar.com/products/market-analytics" TargetMode="External"/><Relationship Id="rId3rqmtg8f3y-pgqhx9b3cu" Type="http://schemas.openxmlformats.org/officeDocument/2006/relationships/hyperlink" Target="https://www.msci.com/data-and-analytics/real-estate/real-capital-analytic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2026-06-08T15:06:35.233Z</dcterms:created>
  <dcterms:modified xsi:type="dcterms:W3CDTF">2026-06-08T15:06:35.234Z</dcterms:modified>
</cp:coreProperties>
</file>

<file path=docProps/custom.xml><?xml version="1.0" encoding="utf-8"?>
<Properties xmlns="http://schemas.openxmlformats.org/officeDocument/2006/custom-properties" xmlns:vt="http://schemas.openxmlformats.org/officeDocument/2006/docPropsVTypes"/>
</file>