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rFonts w:ascii="Microsoft YaHei" w:hAnsi="Microsoft YaHei" w:eastAsia="Microsoft YaHei"/>
          <w:b/>
          <w:color w:val="1D63A9"/>
          <w:sz w:val="30"/>
        </w:rPr>
        <w:t>GUARDLLM</w:t>
      </w:r>
    </w:p>
    <w:p>
      <w:pPr>
        <w:spacing w:before="360"/>
      </w:pPr>
      <w:r>
        <w:rPr>
          <w:rFonts w:ascii="Microsoft YaHei" w:hAnsi="Microsoft YaHei" w:eastAsia="Microsoft YaHei"/>
          <w:b/>
          <w:color w:val="17324D"/>
          <w:sz w:val="56"/>
        </w:rPr>
        <w:t>详细产品功能介绍</w:t>
      </w:r>
    </w:p>
    <w:p>
      <w:r>
        <w:rPr>
          <w:rFonts w:ascii="Microsoft YaHei" w:hAnsi="Microsoft YaHei" w:eastAsia="Microsoft YaHei"/>
          <w:color w:val="1D63A9"/>
          <w:sz w:val="30"/>
        </w:rPr>
        <w:t>从检测能力到证据驱动运营的完整功能地图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137"/>
        <w:gridCol w:w="3137"/>
        <w:gridCol w:w="3137"/>
      </w:tblGrid>
      <w:tr>
        <w:tc>
          <w:tcPr>
            <w:tcW w:type="dxa" w:w="3402"/>
            <w:shd w:fill="EDF5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文档编号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GL-PROD-FEATURE-001</w:t>
            </w:r>
          </w:p>
        </w:tc>
        <w:tc>
          <w:tcPr>
            <w:tcW w:type="dxa" w:w="3402"/>
            <w:shd w:fill="EDF5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基线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96cb4d5</w:t>
            </w:r>
          </w:p>
        </w:tc>
        <w:tc>
          <w:tcPr>
            <w:tcW w:type="dxa" w:w="2268"/>
            <w:shd w:fill="DCECF5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2026-09-03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GuardLLM 大模型与智能体安全护栏平台</w:t>
            </w:r>
          </w:p>
        </w:tc>
      </w:tr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售前、产品、方案、交付、研发、安全运营与客户技术团队</w:t>
            </w:r>
          </w:p>
        </w:tc>
      </w:tr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事实口径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main@96cb4d5（功能基线），文档依据仓库现状编制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E6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6A16"/>
                <w:sz w:val="18"/>
              </w:rPr>
              <w:t>重要口径：本文档只陈述仓库代码和可复核资料能够支持的事实；目标环境性能、盲测效果、国产化适配、外部系统联调及 Version B 网络一体机能力，不因代码存在而视为验收通过。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文档版本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编制日期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代码基线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main@96cb4d5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编制依据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仓库代码、自动化测试、部署清单、运行手册、验收治理文件及官方公开资料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文档目的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提供与当前代码基线一致的产品功能、价值、工作流程、接口、部署和能力边界说明。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适用范围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GuardLLM Version A 软件网关；Version B 仅描述架构接口和外部待办。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保密与发布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当前为内部评审/客户交流稿；未经目标环境验收的性能、效果、兼容和硬件结论不得对外承诺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r>
          <w:t>打开文档后按 Ctrl+A、F9 更新目录</w:t>
        </w:r>
        <w:fldChar w:fldCharType="end"/>
      </w:r>
    </w:p>
    <w:p>
      <w:r>
        <w:br w:type="page"/>
      </w:r>
    </w:p>
    <w:p>
      <w:pPr>
        <w:pStyle w:val="Heading1"/>
      </w:pPr>
      <w:r>
        <w:t>1. 产品概览</w:t>
      </w:r>
    </w:p>
    <w:p>
      <w:r>
        <w:rPr>
          <w:rFonts w:ascii="Microsoft YaHei" w:hAnsi="Microsoft YaHei" w:eastAsia="Microsoft YaHei"/>
          <w:color w:val="1A2433"/>
        </w:rPr>
        <w:t>GuardLLM 大模型与智能体安全护栏平台 是面向企业大模型、RAG 与智能体应用的独立安全控制面。它把输入/输出检测、策略编排、资源治理、RAG 可信性、Agent 工具授权、数据防泄漏、评测发布、审计与安全运营纳入一个可私有化部署的闭环。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D63A9"/>
          <w:left w:val="single" w:sz="6" w:color="1D63A9"/>
          <w:bottom w:val="single" w:sz="6" w:color="1D63A9"/>
          <w:right w:val="single" w:sz="6" w:color="1D63A9"/>
          <w:insideH w:val="single" w:sz="6" w:color="1D63A9"/>
          <w:insideV w:val="single" w:sz="6" w:color="1D63A9"/>
        </w:tblBorders>
      </w:tblPr>
      <w:tblGrid>
        <w:gridCol w:w="9412"/>
      </w:tblGrid>
      <w:tr>
        <w:tc>
          <w:tcPr>
            <w:tcW w:type="dxa" w:w="9412"/>
            <w:shd w:fill="EA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63A9"/>
                <w:sz w:val="19"/>
              </w:rPr>
              <w:t>一句话定位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在业务应用与模型、知识库、工具之间建立可审计、可灰度、可回滚的 AI 安全决策与执行边界。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76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主要价值</w:t>
            </w:r>
          </w:p>
        </w:tc>
        <w:tc>
          <w:tcPr>
            <w:tcW w:type="dxa" w:w="221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典型使用者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业务输入与模型输出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发现并处置提示词注入、敏感数据、恶意内容和输出泄露</w:t>
            </w:r>
          </w:p>
        </w:tc>
        <w:tc>
          <w:tcPr>
            <w:tcW w:type="dxa" w:w="221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业务操作员、安全管理员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RAG 检索链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校验来源、ACL、能力声明和回答 Groundedness</w:t>
            </w:r>
          </w:p>
        </w:tc>
        <w:tc>
          <w:tcPr>
            <w:tcW w:type="dxa" w:w="22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知识平台、应用开发者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Agent/工具调用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意图验证、授权、审批、一次性 Permit、结果复检</w:t>
            </w:r>
          </w:p>
        </w:tc>
        <w:tc>
          <w:tcPr>
            <w:tcW w:type="dxa" w:w="221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Agent 平台、流程负责人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策略与模型版本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测试门禁、双人审批、影子/灰度发布和一键回滚</w:t>
            </w:r>
          </w:p>
        </w:tc>
        <w:tc>
          <w:tcPr>
            <w:tcW w:type="dxa" w:w="22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安全管理员、发布经理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安全运营与审计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Trace 还原、事件闭环、证据导出和 TONE/SIEM 外发</w:t>
            </w:r>
          </w:p>
        </w:tc>
        <w:tc>
          <w:tcPr>
            <w:tcW w:type="dxa" w:w="221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安全运营、审计管理员</w:t>
            </w:r>
          </w:p>
        </w:tc>
      </w:tr>
    </w:tbl>
    <w:p>
      <w:pPr>
        <w:spacing w:after="0"/>
      </w:pPr>
    </w:p>
    <w:p>
      <w:pPr>
        <w:pStyle w:val="Heading1"/>
      </w:pPr>
      <w:r>
        <w:t>2. 产品范围与成熟度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2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464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已形成代码基线，待目标环境验收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UWP-01~07、09、11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统一契约、Guard V2、上下文/资源、RAG、Agent、DLP、评测扫描、审计运维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部分基线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UWP-08、10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多模态与供应链治理框架已具备，真实 OCR/ASR/视觉/AV/扫描器及许可待接入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外部推进中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UWP-00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目标环境、盲测数据、第三方许可和具名责任人尚待冻结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外部阻塞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UWP-12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Version B 网络数据面、硬件 BOM、透明转发、IPS/AV/抗 DDoS 与故障切换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43838"/>
          <w:left w:val="single" w:sz="6" w:color="B43838"/>
          <w:bottom w:val="single" w:sz="6" w:color="B43838"/>
          <w:right w:val="single" w:sz="6" w:color="B43838"/>
          <w:insideH w:val="single" w:sz="6" w:color="B43838"/>
          <w:insideV w:val="single" w:sz="6" w:color="B43838"/>
        </w:tblBorders>
      </w:tblPr>
      <w:tblGrid>
        <w:gridCol w:w="9412"/>
      </w:tblGrid>
      <w:tr>
        <w:tc>
          <w:tcPr>
            <w:tcW w:type="dxa" w:w="9412"/>
            <w:shd w:fill="FC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43838"/>
                <w:sz w:val="19"/>
              </w:rPr>
              <w:t>禁止外推的五类结论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当前没有批准“攻击拦截率至少 99%”“全策略毫秒级时延”“128K 全 Token 无遗漏”“指定国产平台认证”“完整网络安全一体机”五类对外声明。它们必须分别以签名盲测、目标环境性能、Tokenizer 覆盖、兼容性 POC 和 Version B 网络数据面验收为依据。</w:t>
            </w:r>
          </w:p>
        </w:tc>
      </w:tr>
    </w:tbl>
    <w:p>
      <w:pPr>
        <w:pStyle w:val="Heading1"/>
      </w:pPr>
      <w:r>
        <w:t>3.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核心组件</w:t>
            </w:r>
          </w:p>
        </w:tc>
        <w:tc>
          <w:tcPr>
            <w:tcW w:type="dxa" w:w="476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职责与安全边界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接入层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控制台、REST API、应用 SDK、Java Gateway、RAG/Agent/文件入口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统一认证、租户/应用作用域、请求 ID/Trace ID、限流与输入约束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控制层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签名策略包、GuardEngine V2 DAG、版本状态机、灰度路由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将规则、模型、阈值、资源和失败策略编译到不可变签名包；发布与回滚原子绑定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检测层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规则/安全正则、语义分类器、LLM Judge、DLP、多模态、RAG Groundedness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多信号融合，输出风险、置信度、证据和 allow/warn/mask/rewrite/block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Agent 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Action Intent、Action Firewall、审批、一次性 Permit、结果复检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所有有副作用工具调用先授权再执行，Permit 绑定意图、主体、参数和时效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数据层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PostgreSQL、Redis、对象存储、Kafka/Syslog、数据目录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状态、计数、工件、事件与审计证据分层保存；外部平台独立运维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运营层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安全事件、四域事件、审计链、报表、TONE/SIEM、指标与告警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从检测到研判、处置、复盘和外发，支持证据完整性与幂等重试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供应链层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AI-BOM、镜像/模型/规则签名、扫描器准入、离线包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固定版本、摘要、许可和审批；生产镜像必须使用不可变 digest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适配层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PAL/HAL 接口、模型适配器、外部扫描器/模型/KMS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隔离厂商差异；接口存在不等于具体产品或硬件已完成适配验收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A2433"/>
        </w:rPr>
        <w:t>统一决策对象由请求与身份作用域、上下文来源、策略/模型/Tokenizer 版本、检测节点结果、最终动作、证据引用和 Trace 标识构成。所有协议适配都应保留该语义，避免不同入口形成不一致的安全判定。</w:t>
      </w:r>
    </w:p>
    <w:p>
      <w:pPr>
        <w:pStyle w:val="Heading1"/>
      </w:pPr>
      <w:r>
        <w:t>4. 核心功能详解</w:t>
      </w:r>
    </w:p>
    <w:p>
      <w:pPr>
        <w:pStyle w:val="Heading2"/>
      </w:pPr>
      <w:r>
        <w:t>4.1 统一 GuardEngine V2 与双向检测</w:t>
      </w:r>
    </w:p>
    <w:p>
      <w:r>
        <w:rPr>
          <w:rFonts w:ascii="Microsoft YaHei" w:hAnsi="Microsoft YaHei" w:eastAsia="Microsoft YaHei"/>
          <w:color w:val="1A2433"/>
        </w:rPr>
        <w:t>主链路以有界 DAG 编排规则、语义和 Judge 信号，支持输入与输出双向安全决策。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规范化与安全正则：抵抗编码、空白、变体和灾难性回溯风险。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语义分类器：配置固定模型、权重摘要、端点、阈值、校准和失败策略。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LLM Judge：用于规则/语义难以确定的升级判定，并记录来源和配置版本。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聚合决策：统一生成风险分、置信度、证据与 allow/warn/mask/rewrite/block。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流式提交门：限制未经检测内容的提前泄露，并支持 fail-closed。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请求规范化 → DAG 节点并行/串行执行 → 风险聚合 → 动作执行 → 证据与审计记录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安全对话、链路演示；POST /api/detect、POST /api/v1/guard/evaluate、POST /api/v1/guard/evaluate-shadow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src/lib/guard-engine-v2；tests/guard-engine-v2；packages/contracts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语义模型权重、Java 21/Maven 网关和目标负载尚需现场验收。</w:t>
            </w:r>
          </w:p>
        </w:tc>
      </w:tr>
    </w:tbl>
    <w:p>
      <w:pPr>
        <w:spacing w:after="0"/>
      </w:pPr>
    </w:p>
    <w:p>
      <w:pPr>
        <w:pStyle w:val="Heading2"/>
      </w:pPr>
      <w:r>
        <w:t>4.2 16 维度风险与可配置规则</w:t>
      </w:r>
    </w:p>
    <w:p>
      <w:r>
        <w:rPr>
          <w:rFonts w:ascii="Microsoft YaHei" w:hAnsi="Microsoft YaHei" w:eastAsia="Microsoft YaHei"/>
          <w:color w:val="1A2433"/>
        </w:rPr>
        <w:t>内置维度提供统一分类骨架，安全管理员可在策略中启停、调整阈值、动作和关键词。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维度级启停与规则配置；单维度在线测试。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关键词单条、批量导入、分类和 CSV 导出。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警告/阻断阈值及 mask/rewrite/block 等动作配置。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白名单同时绑定策略范围与维度范围，避免全局静默。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支持规则、语义、Judge 的升级路径与 A/B 策略对比。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维度/规则 → 策略实例 → 签名策略包 → GuardEngine 执行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检测维度、策略配置、白名单规则；/api/dimensions、/api/policies、/api/whitelist-rules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src/lib/detection；src/app/policies；src/app/dimensions；tests/detection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行业词库、客户分类分级和阈值必须用客户样本校准。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2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64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功能说明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prompt_injection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提示词注入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识别越权指令、系统提示窃取、角色覆盖、编码与分段绕过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pii_leak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个人信息泄露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识别手机号、证件号、银行卡、邮箱及经批准的上下文实体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malicious_code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恶意代码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识别恶意载荷、利用代码和高风险执行意图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violence_hate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暴力仇恨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识别暴力、威胁、仇恨和歧视性内容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illegal_content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违法违规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识别违法活动、规避监管和犯罪指导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spam_detection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垃圾信息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识别重复、批量和低价值干扰内容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ad_detection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广告营销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识别未经授权的商业推广和导流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sensitive_compliance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敏感合规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按行业与组织策略识别受限主题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adult_content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成人内容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识别色情和不适宜内容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self_harm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自伤风险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识别自残、自杀相关高风险表达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credential_secret_leak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凭证泄露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识别口令、Token、API Key、私钥等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fraud_scam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欺诈诈骗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识别欺诈话术、钓鱼和社会工程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misinformation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虚假信息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标记可能失实、需核验的断言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copyright_risk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版权风险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识别高相似复现和潜在版权争议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business_sensitive</w:t>
            </w:r>
          </w:p>
        </w:tc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商业敏感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识别组织定义的商业秘密和敏感经营数据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output_leak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输出泄露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识别模型输出中的系统提示、上下文与内部信息外泄</w:t>
            </w:r>
          </w:p>
        </w:tc>
      </w:tr>
    </w:tbl>
    <w:p>
      <w:pPr>
        <w:spacing w:after="0"/>
      </w:pPr>
    </w:p>
    <w:p>
      <w:pPr>
        <w:pStyle w:val="Heading2"/>
      </w:pPr>
      <w:r>
        <w:t>4.3 签名策略包与发布治理</w:t>
      </w:r>
    </w:p>
    <w:p>
      <w:r>
        <w:rPr>
          <w:rFonts w:ascii="Microsoft YaHei" w:hAnsi="Microsoft YaHei" w:eastAsia="Microsoft YaHei"/>
          <w:color w:val="1A2433"/>
        </w:rPr>
        <w:t>把检测、资源、语义模型和失败策略编译为签名、不可变的发布单元。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状态机：draft → testing → pending_approval → approved → shadow → canary → active。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测试通过必须绑定已完成的评测运行；默认门禁不少于 2000 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创建者不能审批自己创建的策略包，形成最小双人控制。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影子流量不改变线上决策；灰度比例限定 1%~99%。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全量激活保留上一版本，可一键回滚并原子恢复检测器、Tokenizer 与资源策略。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策略编辑 → 编译/签名 → 评测证据 → 独立审批 → 影子 → 灰度 → 全量/回滚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策略发布；/api/policy-bundles、/api/evaluation-runs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src/lib/policy-bundle；src/lib/release；tests/policy-bundle；tests/release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生产签名密钥、具名审批人和客户门禁阈值需由环境所有者提供。</w:t>
            </w:r>
          </w:p>
        </w:tc>
      </w:tr>
    </w:tbl>
    <w:p>
      <w:pPr>
        <w:spacing w:after="0"/>
      </w:pPr>
    </w:p>
    <w:p>
      <w:pPr>
        <w:pStyle w:val="Heading2"/>
      </w:pPr>
      <w:r>
        <w:t>4.4 长上下文、可信上下文与资源控制</w:t>
      </w:r>
    </w:p>
    <w:p>
      <w:r>
        <w:rPr>
          <w:rFonts w:ascii="Microsoft YaHei" w:hAnsi="Microsoft YaHei" w:eastAsia="Microsoft YaHei"/>
          <w:color w:val="1A2433"/>
        </w:rPr>
        <w:t>对上下文来源和资源消耗同时建模，降低上下文投毒、静默截断和 Guard DoS。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Context Envelope 区分系统、用户、RAG、工具和外部事件来源并保留谱系。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精确 Tokenizer 注册表与摘要固定，长上下文覆盖不可用字符长度近似替代。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安全记忆台账保留来源、风险和作用域，避免跨租户/应用泄露。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42 个作用域/指标/窗口组合覆盖租户、应用、用户、组、凭证、模型和 API。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生命周期预算、复杂度定价、三优先级公平调度和请求幂等计费。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身份作用域 → Token/复杂度预估 → 配额预占 → 检测/模型执行 → 结算或回滚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主要通过签名策略和 API 配置；/api/v1/guard/evaluate、/api/gateway-routing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src/lib/context-trust；src/lib/tokenization；src/lib/resource-control；src/lib/secure-memory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128K 全覆盖、目标 PostgreSQL 一致性和多租户压力指标尚未验收。</w:t>
            </w:r>
          </w:p>
        </w:tc>
      </w:tr>
    </w:tbl>
    <w:p>
      <w:pPr>
        <w:spacing w:after="0"/>
      </w:pPr>
    </w:p>
    <w:p>
      <w:pPr>
        <w:pStyle w:val="Heading2"/>
      </w:pPr>
      <w:r>
        <w:t>4.5 RAG 安全门</w:t>
      </w:r>
    </w:p>
    <w:p>
      <w:r>
        <w:rPr>
          <w:rFonts w:ascii="Microsoft YaHei" w:hAnsi="Microsoft YaHei" w:eastAsia="Microsoft YaHei"/>
          <w:color w:val="1A2433"/>
        </w:rPr>
        <w:t>对知识入库、检索、上下文组装和生成结果实施端到端信任控制。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入库保留来源、摘要、许可和安全标签。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检索阶段执行租户/应用 ACL 与来源能力校验。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上下文组装阻断不可信片段覆盖高权指令。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输出阶段计算 Groundedness，并将引用与证据绑定到决策。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异步 RAG 入库 Worker 支持受控处理和失败重试。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知识入库 → 来源/ACL 绑定 → 检索过滤 → 可信组装 → 输出 Groundedness → 审计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POST /api/v1/guard/rag/evaluate；pnpm rag:worker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src/lib/rag；tests/rag；docs/migrations/0014_rag_security.md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客户领域语料、Groundedness 阈值和向量平台需现场联合标定。</w:t>
            </w:r>
          </w:p>
        </w:tc>
      </w:tr>
    </w:tbl>
    <w:p>
      <w:pPr>
        <w:spacing w:after="0"/>
      </w:pPr>
    </w:p>
    <w:p>
      <w:pPr>
        <w:pStyle w:val="Heading2"/>
      </w:pPr>
      <w:r>
        <w:t>4.6 Agent Action Firewall</w:t>
      </w:r>
    </w:p>
    <w:p>
      <w:r>
        <w:rPr>
          <w:rFonts w:ascii="Microsoft YaHei" w:hAnsi="Microsoft YaHei" w:eastAsia="Microsoft YaHei"/>
          <w:color w:val="1A2433"/>
        </w:rPr>
        <w:t>将 Agent 的自然语言计划转换为可验证意图，对所有有副作用工具调用实施执行前后控制。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Action Intent 绑定主体、租户、应用、工具、参数摘要和上下文证据。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策略判定支持允许、拒绝和需要人工审批。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批准后签发短时、一次性 Permit，防止重放和参数替换。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工具注册表与供应链准入绑定版本、摘要、权限和网络域。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工具结果重新进入 Guard，避免间接提示注入和敏感结果回流。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意图解析 → 工具/参数授权 → 可选人工审批 → Permit → 执行 → 结果复检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POST /api/v1/guard/tools/authorize、/approvals、/result；/api/tool-registry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src/lib/tools；tests/tools；drizzle/0029_action_firewall.sql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目标 MCP/Tool、人工审批系统和权威上下文查询仍需联调。</w:t>
            </w:r>
          </w:p>
        </w:tc>
      </w:tr>
    </w:tbl>
    <w:p>
      <w:pPr>
        <w:spacing w:after="0"/>
      </w:pPr>
    </w:p>
    <w:p>
      <w:pPr>
        <w:pStyle w:val="Heading2"/>
      </w:pPr>
      <w:r>
        <w:t>4.7 DLP、数据目录与内容标识</w:t>
      </w:r>
    </w:p>
    <w:p>
      <w:r>
        <w:rPr>
          <w:rFonts w:ascii="Microsoft YaHei" w:hAnsi="Microsoft YaHei" w:eastAsia="Microsoft YaHei"/>
          <w:color w:val="1A2433"/>
        </w:rPr>
        <w:t>把确定性识别、上下文实体识别、分类分级、留存和生成内容标识纳入统一数据治理。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确定性规则识别手机、证件、银行卡、邮箱、密钥等实体。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实体融合去重并保留置信度、来源和敏感级别。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可选择 mask、block 或受控原文保存；默认关闭原始内容存储。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数据目录记录分类、责任人、保留期和控制策略。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文本/媒体生成内容标识、验证与传播策略接口。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分类/识别 → 标签融合 → 脱敏或阻断 → 谱系/留存 → 标识与审计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数据目录 API、/api/v1/content-marks/text|media|verify、pnpm data:purge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src/lib/dlp；src/lib/data-catalog；src/lib/data-protection；src/lib/content-marking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上下文 NER、外部 KMS/HSM、备份副本删除及媒体标识效果待验收。</w:t>
            </w:r>
          </w:p>
        </w:tc>
      </w:tr>
    </w:tbl>
    <w:p>
      <w:pPr>
        <w:spacing w:after="0"/>
      </w:pPr>
    </w:p>
    <w:p>
      <w:pPr>
        <w:pStyle w:val="Heading2"/>
      </w:pPr>
      <w:r>
        <w:t>4.8 文档、图像、音频与视频安全</w:t>
      </w:r>
    </w:p>
    <w:p>
      <w:r>
        <w:rPr>
          <w:rFonts w:ascii="Microsoft YaHei" w:hAnsi="Microsoft YaHei" w:eastAsia="Microsoft YaHei"/>
          <w:color w:val="1A2433"/>
        </w:rPr>
        <w:t>以安全工件入口约束文件，再由异步分析器执行 OCR、ASR、视觉与时序融合。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分片上传、文件魔数、大小、类型、摘要和状态校验。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文档解析、发现项定位、高亮、复检、重扫和失败重试。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多视图/抽帧计划和置信度阈值控制成本与召回。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音视频事件以时间窗口融合，输出跨模态证据。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分析器通过显式出站 allowlist 和签名回调隔离。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安全上传 → 对象存储 → 异步 Worker → OCR/ASR/视觉 → 融合 → Guard 决策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文档检测；/api/v1/guard/artifacts/*；pnpm artifact:worker、multimodal:worker、media:worker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src/lib/artifacts；src/lib/multimodal；src/lib/media；services/media-analyzer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当前是部分基线；真实 AV、Office、OCR、ASR、视觉模型和攻击语料必须准入与验收。</w:t>
            </w:r>
          </w:p>
        </w:tc>
      </w:tr>
    </w:tbl>
    <w:p>
      <w:pPr>
        <w:spacing w:after="0"/>
      </w:pPr>
    </w:p>
    <w:p>
      <w:pPr>
        <w:pStyle w:val="Heading2"/>
      </w:pPr>
      <w:r>
        <w:t>4.9 评测、红队与安全扫描</w:t>
      </w:r>
    </w:p>
    <w:p>
      <w:r>
        <w:rPr>
          <w:rFonts w:ascii="Microsoft YaHei" w:hAnsi="Microsoft YaHei" w:eastAsia="Microsoft YaHei"/>
          <w:color w:val="1A2433"/>
        </w:rPr>
        <w:t>将用例、盲测、指标和外部扫描统一为不可变发布证据。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控制台维护正常问答、注入、PII、恶意代码、密钥、广告和垃圾等用例。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同题集对比多个供应商和策略，输出动作、风险和时延。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异步评测运行计算 Accuracy、Recall、FPR、FNR 并绑定策略包。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扫描资产先注册摘要和外部库存标识，再提交异步扫描任务。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发现项独立复核；提交者不能自审，仲裁要求不同复核者。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版本化题集/资产 → 首次不可变执行 → 指标/发现项 → 复核/仲裁 → 发布证据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测试用例、多模型评测、评测门禁；/api/security-scans、/api/security-scan-findings/*/reviews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src/lib/evaluation；src/lib/security-scanning；scripts/acceptance；acceptance/evidence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封存盲测集、真实扫描引擎、许可证和独立标注团队属于外部输入。</w:t>
            </w:r>
          </w:p>
        </w:tc>
      </w:tr>
    </w:tbl>
    <w:p>
      <w:pPr>
        <w:spacing w:after="0"/>
      </w:pPr>
    </w:p>
    <w:p>
      <w:pPr>
        <w:pStyle w:val="Heading2"/>
      </w:pPr>
      <w:r>
        <w:t>4.10 安全运营、审计与可观测性</w:t>
      </w:r>
    </w:p>
    <w:p>
      <w:r>
        <w:rPr>
          <w:rFonts w:ascii="Microsoft YaHei" w:hAnsi="Microsoft YaHei" w:eastAsia="Microsoft YaHei"/>
          <w:color w:val="1A2433"/>
        </w:rPr>
        <w:t>把一次判定扩展为可检索、可处置、可证明和可外发的运营闭环。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四域事件模型区分业务交互、AI 安全、控制面和平台运行。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哈希链与可信时间接口支持追加写和篡改检测。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安全事件具备待研判、处理中、误报、已阻断、已整改、已关闭状态及 SLA。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报表导出支持审批；TONE/SIEM 外发带 HMAC、幂等键和失败重试。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Prometheus 指标、告警规则、Grafana 面板与 OTel Collector 配置已纳入部署资产。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检测/操作 → 四域事件 → 审计链 → 事件研判 → 报表/TONE/SIEM → 复盘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检测看板、安全事件、历史记录、Agent 日志、导出报告；/api/audit/*、/api/metrics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src/lib/operations；src/lib/audit；src/lib/observability；deploy/observability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企业 TSA、目标 SOC/TONE、留存策略、72 小时稳定性和容灾演练待现场完成。</w:t>
            </w:r>
          </w:p>
        </w:tc>
      </w:tr>
    </w:tbl>
    <w:p>
      <w:pPr>
        <w:spacing w:after="0"/>
      </w:pPr>
    </w:p>
    <w:p>
      <w:pPr>
        <w:pStyle w:val="Heading2"/>
      </w:pPr>
      <w:r>
        <w:t>4.11 供应链、部署与平台适配</w:t>
      </w:r>
    </w:p>
    <w:p>
      <w:r>
        <w:rPr>
          <w:rFonts w:ascii="Microsoft YaHei" w:hAnsi="Microsoft YaHei" w:eastAsia="Microsoft YaHei"/>
          <w:color w:val="1A2433"/>
        </w:rPr>
        <w:t>以签名、摘要、许可、最小权限和离线交付控制 AI 组件及平台供应链风险。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AI-BOM 覆盖模型、数据、规则、扫描器、工具/MCP 和 Agent Skill。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生产镜像使用不可变 sha256 digest，并可通过 Cosign/Kyverno 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离线包生成 SBOM 与 SHA256SUMS，安装前逐项校验。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Helm/Kustomize 采用七个隔离命名空间、NetworkPolicy、mTLS/工作负载身份。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PAL/HAL 为数据库、缓存、消息、对象存储、加速器和网络适配保留边界。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0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处理链路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组件登记 → 摘要/签名/许可/扫描 → 双人批准 → 构建部署 → 运行证据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控制台/API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主要通过发布脚本和 Helm；pnpm compatibility:check、scripts/release/*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仓库证据</w:t>
            </w:r>
          </w:p>
        </w:tc>
        <w:tc>
          <w:tcPr>
            <w:tcW w:type="dxa" w:w="70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security/ai-components.json；deploy/helm；deploy/policies；src/lib/appliance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当前边界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国产软硬件互认证、具体扫描器 POC 和 Version B 网络数据面未完成。</w:t>
            </w:r>
          </w:p>
        </w:tc>
      </w:tr>
    </w:tbl>
    <w:p>
      <w:pPr>
        <w:spacing w:after="0"/>
      </w:pPr>
    </w:p>
    <w:p>
      <w:pPr>
        <w:pStyle w:val="Heading1"/>
      </w:pPr>
      <w:r>
        <w:t>5. 控制台功能地图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分组</w:t>
            </w:r>
          </w:p>
        </w:tc>
        <w:tc>
          <w:tcPr>
            <w:tcW w:type="dxa" w:w="147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菜单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17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权限</w:t>
            </w:r>
          </w:p>
        </w:tc>
        <w:tc>
          <w:tcPr>
            <w:tcW w:type="dxa" w:w="272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主要任务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核心功能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安全对话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guard:use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输入/输出双向检测与安全对话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核心功能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链路演示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/simulate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guard:use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展示检测、处置和证据链路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核心功能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文档检测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/document-scan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security:operate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文档上传、异步扫描、发现项处置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配置管理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检测维度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/dimensions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policy:manage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维度、规则、测试与启停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配置管理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白名单规则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/whitelist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policy:manage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按策略和维度配置受控放行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配置管理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策略配置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/policies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policy:manage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创建、克隆、阈值、动作、关键词、Judge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配置管理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策略发布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/policy-releases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policy:manage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编译、测试、审批、影子、灰度、发布、回滚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配置管理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模型管理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/providers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provider:manage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模型供应商、端点、模型和连通性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测试评估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测试用例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/test-cases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policy:manage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用例创建、编辑、执行与结果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测试评估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多模型评测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/model-eval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policy:read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同一题集下的模型/策略对比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测试评估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评测门禁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/evaluation-runs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policy:read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异步回归、指标与发布证据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数据统计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检测看板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/dashboard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history:read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请求量、拦截率、风险、时延和趋势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数据统计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安全事件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/incidents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security:operate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研判、分派、SLA、处置闭环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数据统计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历史记录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/history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history:read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多条件检索、详情与授权删除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数据统计</w:t>
            </w:r>
          </w:p>
        </w:tc>
        <w:tc>
          <w:tcPr>
            <w:tcW w:type="dxa" w:w="147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Agent 日志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/agent-logs</w:t>
            </w:r>
          </w:p>
        </w:tc>
        <w:tc>
          <w:tcPr>
            <w:tcW w:type="dxa" w:w="175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audit:read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工具调用和 Agent 链路追踪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数据统计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导出报告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/export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audit:export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统计、JSON/CSV/Markdown 与审批</w:t>
            </w:r>
          </w:p>
        </w:tc>
      </w:tr>
    </w:tbl>
    <w:p>
      <w:pPr>
        <w:spacing w:after="0"/>
      </w:pPr>
    </w:p>
    <w:p>
      <w:pPr>
        <w:pStyle w:val="Heading1"/>
      </w:pPr>
      <w:r>
        <w:t>6. 开放接口与集成方式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57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代表接口</w:t>
            </w:r>
          </w:p>
        </w:tc>
        <w:tc>
          <w:tcPr>
            <w:tcW w:type="dxa" w:w="36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同步护栏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POST /api/v1/guard/evaluate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输入/输出同步检测、统一决策、资源计费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影子评估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POST /api/v1/guard/evaluate-shadow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不影响线上动作的候选策略对比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异步任务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POST/GET /api/v1/guard/jobs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长任务提交、回调与状态查询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安全工件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/api/v1/guard/artifacts/uploads、parts、complete、retry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文件分片、校验、状态和重试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RAG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POST /api/v1/guard/rag/evaluate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来源、ACL、可信上下文与 Groundedness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Agent 工具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/api/v1/guard/tools/authorize、approvals、result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执行前授权、人工审批和结果复检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安全扫描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/api/security-scan-assets、/api/security-scans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资产登记、扫描、结果与独立复核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内容标识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/api/v1/content-marks/text、media、verify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生成内容标识与验证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控制与审计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/api/policies、/api/policy-bundles、/api/audit/*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策略生命周期、审计事件和报表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2D7D5A"/>
          <w:left w:val="single" w:sz="6" w:color="2D7D5A"/>
          <w:bottom w:val="single" w:sz="6" w:color="2D7D5A"/>
          <w:right w:val="single" w:sz="6" w:color="2D7D5A"/>
          <w:insideH w:val="single" w:sz="6" w:color="2D7D5A"/>
          <w:insideV w:val="single" w:sz="6" w:color="2D7D5A"/>
        </w:tblBorders>
      </w:tblPr>
      <w:tblGrid>
        <w:gridCol w:w="9412"/>
      </w:tblGrid>
      <w:tr>
        <w:tc>
          <w:tcPr>
            <w:tcW w:type="dxa" w:w="9412"/>
            <w:shd w:fill="EAF6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D7D5A"/>
                <w:sz w:val="19"/>
              </w:rPr>
              <w:t>集成原则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所有生产接口都应使用明确的租户、应用和主体身份；保留 X-Request-ID/Trace ID；固定策略包、模型、Tokenizer 和工件摘要；对外端点必须使用 HTTPS 且进入 allowlist。</w:t>
            </w:r>
          </w:p>
        </w:tc>
      </w:tr>
    </w:tbl>
    <w:p>
      <w:pPr>
        <w:pStyle w:val="Heading1"/>
      </w:pPr>
      <w:r>
        <w:t>7. 典型应用场景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02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关键链路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业务价值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金融智能客服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输入越狱/PII → 输出合规/泄密 → 事件留痕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降低客服内容违规与客户数据外泄；保留可审计证据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政务知识问答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知识来源/ACL → RAG 注入 → 回答 Groundedness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确保授权知识可见、来源可追溯、回答可核验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能源运维 Agent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工具登记 → 高危操作审批 → 一次性 Permit → 结果复检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把自主执行约束在批准的主体、参数、时间和环境内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研发代码助手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敏感代码/密钥检测 → 恶意代码/许可证风险 → 供应链证据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降低代码和凭证外泄、恶意生成与组件风险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企业模型准入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版本化题集 → 多模型评测 → 盲测 → 门禁 → 灰度/回滚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把模型上线从主观评审转为可复核的证据流程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大模型安全运营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四域事件 → 研判/SLA → 报表 → SIEM/TONE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让 AI 风险进入既有 SOC 流程并支持审计检查</w:t>
            </w:r>
          </w:p>
        </w:tc>
      </w:tr>
    </w:tbl>
    <w:p>
      <w:pPr>
        <w:spacing w:after="0"/>
      </w:pPr>
    </w:p>
    <w:p>
      <w:pPr>
        <w:pStyle w:val="Heading1"/>
      </w:pPr>
      <w:r>
        <w:t>8. 部署形态与依赖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开发/验证：Next.js 控制应用与 Worker，可连接 PostgreSQL/Supabase；Node.js 24、pnpm 11 为当前仓库约束。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生产 Kubernetes：Helm/Kustomize、七命名空间隔离、不可变镜像 digest、STRICT mTLS 或网关直连 TLS。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离线部署：在受控联网构建机验证签名、导出镜像、生成 CycloneDX SBOM 与校验和，再经批准介质转移。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平台依赖：PostgreSQL、Redis、Kafka/Syslog、对象存储、搜索、PKI、GPU/NPU 驱动和可观测性 Operator 均由目标平台独立提供。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Version B：只保留 PAL/HAL 和 SKU 边界，不应把透明转发、IPS、AV、抗 DDoS 或硬件认证写入 Version A 能力。</w:t>
      </w:r>
    </w:p>
    <w:p>
      <w:pPr>
        <w:pStyle w:val="Heading1"/>
      </w:pPr>
      <w:r>
        <w:t>9. 当前质量证据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仓库结果</w:t>
            </w:r>
          </w:p>
        </w:tc>
        <w:tc>
          <w:tcPr>
            <w:tcW w:type="dxa" w:w="402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计划一致性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13 个工作包、5 个禁用声明校验通过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证明治理文件可机器核对，不代表现场验收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契约兼容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contracts:check 通过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生成物与兼容规则一致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TypeScript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ts-check 通过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类型检查通过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单元/组件测试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100 个测试文件、396 项通过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代码级自动化基线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生产构建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Next.js 16.3.3，80 路由构建通过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当前代码可构建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Python SDK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3 项测试通过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Python SDK 基线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Lint</w:t>
            </w:r>
          </w:p>
        </w:tc>
        <w:tc>
          <w:tcPr>
            <w:tcW w:type="dxa" w:w="29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0 错误、84 条基线警告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警告未作为发布阻塞项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未完成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Go/JDK/Maven、目标 DB 集成、盲测/性能/HA/DR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需要具备工具与现场环境后执行</w:t>
            </w:r>
          </w:p>
        </w:tc>
      </w:tr>
    </w:tbl>
    <w:p>
      <w:pPr>
        <w:spacing w:after="0"/>
      </w:pPr>
    </w:p>
    <w:p>
      <w:pPr>
        <w:pStyle w:val="Heading1"/>
      </w:pPr>
      <w:r>
        <w:t>10. 选型建议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2D7D5A"/>
          <w:left w:val="single" w:sz="6" w:color="2D7D5A"/>
          <w:bottom w:val="single" w:sz="6" w:color="2D7D5A"/>
          <w:right w:val="single" w:sz="6" w:color="2D7D5A"/>
          <w:insideH w:val="single" w:sz="6" w:color="2D7D5A"/>
          <w:insideV w:val="single" w:sz="6" w:color="2D7D5A"/>
        </w:tblBorders>
      </w:tblPr>
      <w:tblGrid>
        <w:gridCol w:w="9412"/>
      </w:tblGrid>
      <w:tr>
        <w:tc>
          <w:tcPr>
            <w:tcW w:type="dxa" w:w="9412"/>
            <w:shd w:fill="EAF6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D7D5A"/>
                <w:sz w:val="19"/>
              </w:rPr>
              <w:t>适合优先采用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需要私有化、模型中立、RAG/Agent 安全、策略可回滚、证据可审计，并愿意按目标环境完成联合验收的组织。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color="B56A16"/>
          <w:left w:val="single" w:sz="6" w:color="B56A16"/>
          <w:bottom w:val="single" w:sz="6" w:color="B56A16"/>
          <w:right w:val="single" w:sz="6" w:color="B56A16"/>
          <w:insideH w:val="single" w:sz="6" w:color="B56A16"/>
          <w:insideV w:val="single" w:sz="6" w:color="B56A16"/>
        </w:tblBorders>
      </w:tblPr>
      <w:tblGrid>
        <w:gridCol w:w="9412"/>
      </w:tblGrid>
      <w:tr>
        <w:tc>
          <w:tcPr>
            <w:tcW w:type="dxa" w:w="9412"/>
            <w:shd w:fill="FFF4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6A16"/>
                <w:sz w:val="19"/>
              </w:rPr>
              <w:t>不应直接承诺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无需集成即可达到固定拦截率/时延、已兼容所有国产软硬件、可替代全功能网络安全设备、所有多模态分析器开箱即用。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版本 V1.0  |  2026-09-03  |  内部评审/客户交流稿</w:t>
    </w:r>
    <w:r>
      <w:rPr>
        <w:rFonts w:ascii="Microsoft YaHei" w:hAnsi="Microsoft YaHei" w:eastAsia="Microsoft YaHei"/>
        <w:color w:val="5B677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7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CAD7E2"/>
      </w:pBdr>
    </w:pPr>
    <w:r>
      <w:rPr>
        <w:rFonts w:ascii="Microsoft YaHei" w:hAnsi="Microsoft YaHei" w:eastAsia="Microsoft YaHei"/>
        <w:b/>
        <w:color w:val="1D63A9"/>
        <w:sz w:val="16"/>
      </w:rPr>
      <w:t>GUARDLLM  /  GL-PROD-FEATURE-001</w:t>
    </w:r>
    <w:r>
      <w:t xml:space="preserve">   </w:t>
    </w:r>
    <w:r>
      <w:rPr>
        <w:rFonts w:ascii="Microsoft YaHei" w:hAnsi="Microsoft YaHei" w:eastAsia="Microsoft YaHei"/>
        <w:color w:val="5B6775"/>
        <w:sz w:val="16"/>
      </w:rPr>
      <w:t>受控产品资料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A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3A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3A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 w:right="198"/>
    </w:pPr>
    <w:rPr>
      <w:rFonts w:ascii="Cascadia Mono" w:hAnsi="Cascadia Mono" w:eastAsia="Microsoft YaHei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