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left"/>
      </w:pPr>
      <w:r>
        <w:rPr>
          <w:rFonts w:ascii="Microsoft YaHei" w:hAnsi="Microsoft YaHei" w:eastAsia="Microsoft YaHei"/>
          <w:b/>
          <w:color w:val="1D63A9"/>
          <w:sz w:val="30"/>
        </w:rPr>
        <w:t>GUARDLLM</w:t>
      </w:r>
    </w:p>
    <w:p>
      <w:pPr>
        <w:spacing w:before="360"/>
      </w:pPr>
      <w:r>
        <w:rPr>
          <w:rFonts w:ascii="Microsoft YaHei" w:hAnsi="Microsoft YaHei" w:eastAsia="Microsoft YaHei"/>
          <w:b/>
          <w:color w:val="17324D"/>
          <w:sz w:val="56"/>
        </w:rPr>
        <w:t>全面操作手册与测试手册</w:t>
      </w:r>
    </w:p>
    <w:p>
      <w:r>
        <w:rPr>
          <w:rFonts w:ascii="Microsoft YaHei" w:hAnsi="Microsoft YaHei" w:eastAsia="Microsoft YaHei"/>
          <w:color w:val="1D63A9"/>
          <w:sz w:val="30"/>
        </w:rPr>
        <w:t>安装、配置、业务操作、API 集成、运维、测试与验收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289"/>
        <w:gridCol w:w="3289"/>
        <w:gridCol w:w="3289"/>
      </w:tblGrid>
      <w:tr>
        <w:tc>
          <w:tcPr>
            <w:tcW w:type="dxa" w:w="3402"/>
            <w:shd w:fill="EDF5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5B6775"/>
                <w:sz w:val="16"/>
              </w:rPr>
              <w:t>文档编号</w:t>
              <w:br/>
            </w:r>
            <w:r>
              <w:rPr>
                <w:rFonts w:ascii="Microsoft YaHei" w:hAnsi="Microsoft YaHei" w:eastAsia="Microsoft YaHei"/>
                <w:b/>
                <w:color w:val="1A2433"/>
                <w:sz w:val="20"/>
              </w:rPr>
              <w:t>GL-OPS-TEST-001</w:t>
            </w:r>
          </w:p>
        </w:tc>
        <w:tc>
          <w:tcPr>
            <w:tcW w:type="dxa" w:w="3402"/>
            <w:shd w:fill="EDF5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5B6775"/>
                <w:sz w:val="16"/>
              </w:rPr>
              <w:t>基线</w:t>
              <w:br/>
            </w:r>
            <w:r>
              <w:rPr>
                <w:rFonts w:ascii="Microsoft YaHei" w:hAnsi="Microsoft YaHei" w:eastAsia="Microsoft YaHei"/>
                <w:b/>
                <w:color w:val="1A2433"/>
                <w:sz w:val="20"/>
              </w:rPr>
              <w:t>96cb4d5</w:t>
            </w:r>
          </w:p>
        </w:tc>
        <w:tc>
          <w:tcPr>
            <w:tcW w:type="dxa" w:w="2268"/>
            <w:shd w:fill="DCECF5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5B6775"/>
                <w:sz w:val="16"/>
              </w:rPr>
              <w:t>日期</w:t>
              <w:br/>
            </w:r>
            <w:r>
              <w:rPr>
                <w:rFonts w:ascii="Microsoft YaHei" w:hAnsi="Microsoft YaHei" w:eastAsia="Microsoft YaHei"/>
                <w:b/>
                <w:color w:val="1A2433"/>
                <w:sz w:val="20"/>
              </w:rPr>
              <w:t>2026-09-03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c>
          <w:tcPr>
            <w:tcW w:type="dxa" w:w="1814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7257"/>
            <w:shd w:fill="F7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GuardLLM 大模型与智能体安全护栏平台</w:t>
            </w:r>
          </w:p>
        </w:tc>
      </w:tr>
      <w:tr>
        <w:tc>
          <w:tcPr>
            <w:tcW w:type="dxa" w:w="1814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适用对象</w:t>
            </w:r>
          </w:p>
        </w:tc>
        <w:tc>
          <w:tcPr>
            <w:tcW w:type="dxa" w:w="7257"/>
            <w:shd w:fill="F7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平台管理员、安全管理员、审计人员、应用开发者、测试与交付团队</w:t>
            </w:r>
          </w:p>
        </w:tc>
      </w:tr>
      <w:tr>
        <w:tc>
          <w:tcPr>
            <w:tcW w:type="dxa" w:w="1814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事实口径</w:t>
            </w:r>
          </w:p>
        </w:tc>
        <w:tc>
          <w:tcPr>
            <w:tcW w:type="dxa" w:w="7257"/>
            <w:shd w:fill="F7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main@96cb4d5（功能基线），文档依据仓库现状编制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6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B56A16"/>
                <w:sz w:val="18"/>
              </w:rPr>
              <w:t>重要口径：本文档只陈述仓库代码和可复核资料能够支持的事实；目标环境性能、盲测效果、国产化适配、外部系统联调及 Version B 网络一体机能力，不因代码存在而视为验收通过。</w:t>
            </w:r>
          </w:p>
        </w:tc>
      </w:tr>
    </w:tbl>
    <w:p>
      <w:r>
        <w:br w:type="page"/>
      </w:r>
    </w:p>
    <w:p>
      <w:pPr>
        <w:pStyle w:val="Heading1"/>
      </w:pPr>
      <w:r>
        <w:t>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文档版本</w:t>
            </w:r>
          </w:p>
        </w:tc>
        <w:tc>
          <w:tcPr>
            <w:tcW w:type="dxa" w:w="69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编制日期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2026-09-03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代码基线</w:t>
            </w:r>
          </w:p>
        </w:tc>
        <w:tc>
          <w:tcPr>
            <w:tcW w:type="dxa" w:w="69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main@96cb4d5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编制依据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仓库代码、自动化测试、部署清单、运行手册、验收治理文件及官方公开资料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文档目的</w:t>
            </w:r>
          </w:p>
        </w:tc>
        <w:tc>
          <w:tcPr>
            <w:tcW w:type="dxa" w:w="69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提供从安装准备到日常操作、接口联调、回归测试和现场验收的可执行步骤。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适用范围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Version A 软件网关。配套测试用例见同目录 XLSX 工作簿。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保密与发布</w:t>
            </w:r>
          </w:p>
        </w:tc>
        <w:tc>
          <w:tcPr>
            <w:tcW w:type="dxa" w:w="69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8"/>
              </w:rPr>
              <w:t>当前为内部评审/客户交流稿；未经目标环境验收的性能、效果、兼容和硬件结论不得对外承诺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r>
          <w:t>打开文档后按 Ctrl+A、F9 更新目录</w:t>
        </w:r>
        <w:fldChar w:fldCharType="end"/>
      </w:r>
    </w:p>
    <w:p>
      <w:r>
        <w:br w:type="page"/>
      </w:r>
    </w:p>
    <w:p>
      <w:pPr>
        <w:pStyle w:val="Heading1"/>
      </w:pPr>
      <w:r>
        <w:t>1. 阅读指南与安全约定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所有命令默认从仓库根目录执行，且只使用 pnpm；当前 package.json 要求 Node.js 24.x、pnpm 11.19.0。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生产环境必须使用强随机密钥、不可变镜像 digest、TLS/mTLS、受控 Secret 和最小权限账户。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示例请求中的主机、Token、租户、应用和 ID 必须替换为目标环境值；不得把真实密钥写入脚本、文档或 Git。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对外依赖仅允许 HTTPS 且必须配置显式 hostname allowlist；私网主机另行进入 private allowlist。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执行删除、回滚、数据清理、策略激活和报表导出前，核对作用域并保留审批与证据。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56A16"/>
          <w:left w:val="single" w:sz="6" w:color="B56A16"/>
          <w:bottom w:val="single" w:sz="6" w:color="B56A16"/>
          <w:right w:val="single" w:sz="6" w:color="B56A16"/>
          <w:insideH w:val="single" w:sz="6" w:color="B56A16"/>
          <w:insideV w:val="single" w:sz="6" w:color="B56A16"/>
        </w:tblBorders>
      </w:tblPr>
      <w:tblGrid>
        <w:gridCol w:w="9866"/>
      </w:tblGrid>
      <w:tr>
        <w:tc>
          <w:tcPr>
            <w:tcW w:type="dxa" w:w="9866"/>
            <w:shd w:fill="FFF4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B56A16"/>
                <w:sz w:val="19"/>
              </w:rPr>
              <w:t>状态提示</w:t>
              <w:br/>
            </w:r>
            <w:r>
              <w:rPr>
                <w:rFonts w:ascii="Microsoft YaHei" w:hAnsi="Microsoft YaHei" w:eastAsia="Microsoft YaHei"/>
                <w:color w:val="1A2433"/>
                <w:sz w:val="18"/>
              </w:rPr>
              <w:t>仓库测试证明代码行为，不证明目标模型、目标硬件、客户数据、真实扫描器、TONE/SIEM、HA/DR 或 Version B 网络数据面已验收。</w:t>
            </w:r>
          </w:p>
        </w:tc>
      </w:tr>
    </w:tbl>
    <w:p>
      <w:pPr>
        <w:pStyle w:val="Heading1"/>
      </w:pPr>
      <w:r>
        <w:t>2. 角色与权限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7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角色代码</w:t>
            </w:r>
          </w:p>
        </w:tc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中文角色</w:t>
            </w:r>
          </w:p>
        </w:tc>
        <w:tc>
          <w:tcPr>
            <w:tcW w:type="dxa" w:w="532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主要权限与职责</w:t>
            </w:r>
          </w:p>
        </w:tc>
      </w:tr>
      <w:tr>
        <w:trPr>
          <w:cantSplit/>
        </w:trPr>
        <w:tc>
          <w:tcPr>
            <w:tcW w:type="dxa" w:w="187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SYSTEM_ADMIN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系统管理员</w:t>
            </w:r>
          </w:p>
        </w:tc>
        <w:tc>
          <w:tcPr>
            <w:tcW w:type="dxa" w:w="532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租户、应用、凭证、用户、平台配置；可使用护栏与维护供应商，但不具备安全策略管理和审计导出权限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SECURITY_ADMIN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安全管理员</w:t>
            </w:r>
          </w:p>
        </w:tc>
        <w:tc>
          <w:tcPr>
            <w:tcW w:type="dxa" w:w="532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策略、维度、白名单、文档扫描、事件处置、历史管理、导出审批与供应商连通测试</w:t>
            </w:r>
          </w:p>
        </w:tc>
      </w:tr>
      <w:tr>
        <w:trPr>
          <w:cantSplit/>
        </w:trPr>
        <w:tc>
          <w:tcPr>
            <w:tcW w:type="dxa" w:w="187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AUDIT_ADMIN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审计管理员</w:t>
            </w:r>
          </w:p>
        </w:tc>
        <w:tc>
          <w:tcPr>
            <w:tcW w:type="dxa" w:w="532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审计查询与导出、租户/应用只读、数据目录只读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BUSINESS_OPERATOR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业务操作员</w:t>
            </w:r>
          </w:p>
        </w:tc>
        <w:tc>
          <w:tcPr>
            <w:tcW w:type="dxa" w:w="532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护栏使用、策略/供应商只读、历史查询、租户/应用只读</w:t>
            </w:r>
          </w:p>
        </w:tc>
      </w:tr>
      <w:tr>
        <w:trPr>
          <w:cantSplit/>
        </w:trPr>
        <w:tc>
          <w:tcPr>
            <w:tcW w:type="dxa" w:w="187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APP_DEVELOPER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应用开发者</w:t>
            </w:r>
          </w:p>
        </w:tc>
        <w:tc>
          <w:tcPr>
            <w:tcW w:type="dxa" w:w="532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护栏调用、应用集成与应用凭证管理，策略/供应商只读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READ_ONLY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只读用户</w:t>
            </w:r>
          </w:p>
        </w:tc>
        <w:tc>
          <w:tcPr>
            <w:tcW w:type="dxa" w:w="532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策略、历史、租户、应用与数据目录只读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1D63A9"/>
          <w:left w:val="single" w:sz="6" w:color="1D63A9"/>
          <w:bottom w:val="single" w:sz="6" w:color="1D63A9"/>
          <w:right w:val="single" w:sz="6" w:color="1D63A9"/>
          <w:insideH w:val="single" w:sz="6" w:color="1D63A9"/>
          <w:insideV w:val="single" w:sz="6" w:color="1D63A9"/>
        </w:tblBorders>
      </w:tblPr>
      <w:tblGrid>
        <w:gridCol w:w="9866"/>
      </w:tblGrid>
      <w:tr>
        <w:tc>
          <w:tcPr>
            <w:tcW w:type="dxa" w:w="9866"/>
            <w:shd w:fill="EAF4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D63A9"/>
                <w:sz w:val="19"/>
              </w:rPr>
              <w:t>三员分立</w:t>
              <w:br/>
            </w:r>
            <w:r>
              <w:rPr>
                <w:rFonts w:ascii="Microsoft YaHei" w:hAnsi="Microsoft YaHei" w:eastAsia="Microsoft YaHei"/>
                <w:color w:val="1A2433"/>
                <w:sz w:val="18"/>
              </w:rPr>
              <w:t>系统管理员、安全管理员、审计管理员在代码中是互相独立的权限集合；生产还需接入客户 SSO/2FA、应急账号双人授权和账号全生命周期。</w:t>
            </w:r>
          </w:p>
        </w:tc>
      </w:tr>
    </w:tbl>
    <w:p>
      <w:pPr>
        <w:pStyle w:val="Heading1"/>
      </w:pPr>
      <w:r>
        <w:t>3. 环境准备与部署</w:t>
      </w:r>
    </w:p>
    <w:p>
      <w:pPr>
        <w:pStyle w:val="Heading2"/>
      </w:pPr>
      <w:r>
        <w:t>3.1 开发/验证环境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02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306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检查方式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Node.js</w:t>
            </w:r>
          </w:p>
        </w:tc>
        <w:tc>
          <w:tcPr>
            <w:tcW w:type="dxa" w:w="402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&gt;=24.0.0 &lt;25</w:t>
            </w:r>
          </w:p>
        </w:tc>
        <w:tc>
          <w:tcPr>
            <w:tcW w:type="dxa" w:w="306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node --version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pnpm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11.19.0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pnpm --version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PostgreSQL</w:t>
            </w:r>
          </w:p>
        </w:tc>
        <w:tc>
          <w:tcPr>
            <w:tcW w:type="dxa" w:w="402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开发拓扑当前参考 16.10-alpine；生产由平台提供</w:t>
            </w:r>
          </w:p>
        </w:tc>
        <w:tc>
          <w:tcPr>
            <w:tcW w:type="dxa" w:w="306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数据库健康检查 /api/health/db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浏览器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现代 Chromium/Edge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访问登录页与控制台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可选工具</w:t>
            </w:r>
          </w:p>
        </w:tc>
        <w:tc>
          <w:tcPr>
            <w:tcW w:type="dxa" w:w="402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Java 21/Maven、Go、Python</w:t>
            </w:r>
          </w:p>
        </w:tc>
        <w:tc>
          <w:tcPr>
            <w:tcW w:type="dxa" w:w="306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7"/>
              </w:rPr>
              <w:t>仅在对应 Gateway/SDK 测试时需要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D8E1E8"/>
          <w:left w:val="single" w:sz="6" w:color="D8E1E8"/>
          <w:bottom w:val="single" w:sz="6" w:color="D8E1E8"/>
          <w:right w:val="single" w:sz="6" w:color="D8E1E8"/>
          <w:insideH w:val="single" w:sz="6" w:color="D8E1E8"/>
          <w:insideV w:val="single" w:sz="6" w:color="D8E1E8"/>
        </w:tblBorders>
      </w:tblPr>
      <w:tblGrid>
        <w:gridCol w:w="9866"/>
      </w:tblGrid>
      <w:tr>
        <w:tc>
          <w:tcPr>
            <w:tcW w:type="dxa" w:w="9866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ascadia Mono" w:hAnsi="Cascadia Mono" w:eastAsia="Cascadia Mono"/>
                <w:color w:val="243447"/>
                <w:sz w:val="16"/>
              </w:rPr>
              <w:t>pnpm install</w:t>
              <w:br/>
              <w:t>Copy-Item .env.example .env.local</w:t>
              <w:br/>
              <w:t># 配置 DATABASE_URL、AUTH_TOKEN_SECRET、ALLOWLIST、对象存储和外部服务</w:t>
              <w:br/>
              <w:t>pnpm auth:bootstrap</w:t>
              <w:br/>
              <w:t>pnpm dev</w:t>
            </w:r>
          </w:p>
        </w:tc>
      </w:tr>
    </w:tbl>
    <w:p>
      <w:r>
        <w:rPr>
          <w:rFonts w:ascii="Microsoft YaHei" w:hAnsi="Microsoft YaHei" w:eastAsia="Microsoft YaHei"/>
          <w:color w:val="1A2433"/>
        </w:rPr>
        <w:t>默认开发访问地址由 scripts/dev.mjs 决定；README 当前示例为 http://localhost:5000。若端口被占用，以启动日志为准。</w:t>
      </w:r>
    </w:p>
    <w:p>
      <w:pPr>
        <w:pStyle w:val="Heading2"/>
      </w:pPr>
      <w:r>
        <w:t>3.2 管理员初始化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Microsoft YaHei" w:hAnsi="Microsoft YaHei" w:eastAsia="Microsoft YaHei"/>
        </w:rPr>
        <w:t>设置 PGDATABASE_URL 或 DATABASE_URL。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Microsoft YaHei" w:hAnsi="Microsoft YaHei" w:eastAsia="Microsoft YaHei"/>
        </w:rPr>
        <w:t>设置 BOOTSTRAP_ADMIN_PASSWORD：12~72 字节，包含大小写字母、数字和符号，不得包含用户名。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Microsoft YaHei" w:hAnsi="Microsoft YaHei" w:eastAsia="Microsoft YaHei"/>
        </w:rPr>
        <w:t>可选设置 BOOTSTRAP_ADMIN_USERNAME、BOOTSTRAP_ADMIN_EMAIL、BOOTSTRAP_TENANT_CODE、BOOTSTRAP_APPLICATION_CODE。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Microsoft YaHei" w:hAnsi="Microsoft YaHei" w:eastAsia="Microsoft YaHei"/>
        </w:rPr>
        <w:t>执行 pnpm auth:bootstrap；若账号已存在，应走认证后的密码重置流程，不应重复初始化。</w:t>
      </w:r>
    </w:p>
    <w:p>
      <w:pPr>
        <w:pStyle w:val="Heading2"/>
      </w:pPr>
      <w:r>
        <w:t>3.3 生产 Kubernetes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Microsoft YaHei" w:hAnsi="Microsoft YaHei" w:eastAsia="Microsoft YaHei"/>
        </w:rPr>
        <w:t>复制 deploy/helm/guardllm/values.yaml 为环境自有 values 文件。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Microsoft YaHei" w:hAnsi="Microsoft YaHei" w:eastAsia="Microsoft YaHei"/>
        </w:rPr>
        <w:t>替换镜像仓库与 sha256 digest；通过 Secret 控制器创建 guardllm-runtime-secrets。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Microsoft YaHei" w:hAnsi="Microsoft YaHei" w:eastAsia="Microsoft YaHei"/>
        </w:rPr>
        <w:t>执行 node scripts/release/validate-production-values.mjs &lt;values-file&gt;。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Microsoft YaHei" w:hAnsi="Microsoft YaHei" w:eastAsia="Microsoft YaHei"/>
        </w:rPr>
        <w:t>应用 deploy 顶层 Kustomization，注入可信 Cosign 公钥并启用签名策略。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Microsoft YaHei" w:hAnsi="Microsoft YaHei" w:eastAsia="Microsoft YaHei"/>
        </w:rPr>
        <w:t>执行 helm upgrade --install --atomic；确认 mTLS 或 gatewayDirectTls 方案。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Microsoft YaHei" w:hAnsi="Microsoft YaHei" w:eastAsia="Microsoft YaHei"/>
        </w:rPr>
        <w:t>待 metrics bearer token 就绪后再启用 ServiceMonitor。</w:t>
      </w:r>
    </w:p>
    <w:p>
      <w:pPr>
        <w:pStyle w:val="Heading2"/>
      </w:pPr>
      <w:r>
        <w:t>3.4 数据库与 Worker</w:t>
      </w:r>
    </w:p>
    <w:p>
      <w:r>
        <w:rPr>
          <w:rFonts w:ascii="Microsoft YaHei" w:hAnsi="Microsoft YaHei" w:eastAsia="Microsoft YaHei"/>
          <w:color w:val="1A2433"/>
        </w:rPr>
        <w:t>数据库迁移按数字顺序执行。与本次产品能力直接相关的新增表包括：0028 安全记忆、0029 Action Firewall、0030 资源控制、0031 不可变评测、0032 工具供应链、0033 四域事件、0034 安全扫描、0035 配额台账。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Worker</w:t>
            </w:r>
          </w:p>
        </w:tc>
        <w:tc>
          <w:tcPr>
            <w:tcW w:type="dxa" w:w="272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命令</w:t>
            </w:r>
          </w:p>
        </w:tc>
        <w:tc>
          <w:tcPr>
            <w:tcW w:type="dxa" w:w="447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评测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pnpm evaluation:worker</w:t>
            </w:r>
          </w:p>
        </w:tc>
        <w:tc>
          <w:tcPr>
            <w:tcW w:type="dxa" w:w="447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异步回归、指标和发布证据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安全扫描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pnpm security-scan:worker</w:t>
            </w:r>
          </w:p>
        </w:tc>
        <w:tc>
          <w:tcPr>
            <w:tcW w:type="dxa" w:w="447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扫描任务、尝试、发现项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工件验证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pnpm artifact:worker</w:t>
            </w:r>
          </w:p>
        </w:tc>
        <w:tc>
          <w:tcPr>
            <w:tcW w:type="dxa" w:w="447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上传工件校验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文档图像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pnpm multimodal:worker</w:t>
            </w:r>
          </w:p>
        </w:tc>
        <w:tc>
          <w:tcPr>
            <w:tcW w:type="dxa" w:w="447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文档图像/OCR 分析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音视频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pnpm media:worker</w:t>
            </w:r>
          </w:p>
        </w:tc>
        <w:tc>
          <w:tcPr>
            <w:tcW w:type="dxa" w:w="447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抽帧、ASR、时序融合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内容标识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pnpm content-marking:worker</w:t>
            </w:r>
          </w:p>
        </w:tc>
        <w:tc>
          <w:tcPr>
            <w:tcW w:type="dxa" w:w="447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媒体标识处理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RAG 入库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pnpm rag:worker</w:t>
            </w:r>
          </w:p>
        </w:tc>
        <w:tc>
          <w:tcPr>
            <w:tcW w:type="dxa" w:w="447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安全入库与索引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回调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pnpm callback:worker</w:t>
            </w:r>
          </w:p>
        </w:tc>
        <w:tc>
          <w:tcPr>
            <w:tcW w:type="dxa" w:w="447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签名、幂等回调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审计导出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pnpm audit:export-worker</w:t>
            </w:r>
          </w:p>
        </w:tc>
        <w:tc>
          <w:tcPr>
            <w:tcW w:type="dxa" w:w="447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TONE/SIEM 外发与重试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可信时间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pnpm audit:timestamp-worker</w:t>
            </w:r>
          </w:p>
        </w:tc>
        <w:tc>
          <w:tcPr>
            <w:tcW w:type="dxa" w:w="447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时间戳任务</w:t>
            </w:r>
          </w:p>
        </w:tc>
      </w:tr>
    </w:tbl>
    <w:p>
      <w:pPr>
        <w:spacing w:after="0"/>
      </w:pPr>
    </w:p>
    <w:p>
      <w:pPr>
        <w:pStyle w:val="Heading1"/>
      </w:pPr>
      <w:r>
        <w:t>4. 登录、作用域与账号</w:t>
      </w:r>
    </w:p>
    <w:p>
      <w:pPr>
        <w:pStyle w:val="Heading2"/>
      </w:pPr>
      <w:r>
        <w:t>4.1 登录与强制改密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所有用户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管理员已创建用户且账号有效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12"/>
        </w:numPr>
        <w:spacing w:after="40"/>
      </w:pPr>
      <w:r>
        <w:rPr>
          <w:rFonts w:ascii="Microsoft YaHei" w:hAnsi="Microsoft YaHei" w:eastAsia="Microsoft YaHei"/>
        </w:rPr>
        <w:t>打开 /login，输入用户名、密码和页面验证码。</w:t>
      </w:r>
    </w:p>
    <w:p>
      <w:pPr>
        <w:pStyle w:val="ListNumber"/>
        <w:numPr>
          <w:ilvl w:val="0"/>
          <w:numId w:val="12"/>
        </w:numPr>
        <w:spacing w:after="40"/>
      </w:pPr>
      <w:r>
        <w:rPr>
          <w:rFonts w:ascii="Microsoft YaHei" w:hAnsi="Microsoft YaHei" w:eastAsia="Microsoft YaHei"/>
        </w:rPr>
        <w:t>首次登录或密码过期时，系统跳转 /change-password。</w:t>
      </w:r>
    </w:p>
    <w:p>
      <w:pPr>
        <w:pStyle w:val="ListNumber"/>
        <w:numPr>
          <w:ilvl w:val="0"/>
          <w:numId w:val="12"/>
        </w:numPr>
        <w:spacing w:after="40"/>
      </w:pPr>
      <w:r>
        <w:rPr>
          <w:rFonts w:ascii="Microsoft YaHei" w:hAnsi="Microsoft YaHei" w:eastAsia="Microsoft YaHei"/>
        </w:rPr>
        <w:t>输入当前密码与符合策略的新密码并提交。</w:t>
      </w:r>
    </w:p>
    <w:p>
      <w:pPr>
        <w:pStyle w:val="ListNumber"/>
        <w:numPr>
          <w:ilvl w:val="0"/>
          <w:numId w:val="12"/>
        </w:numPr>
        <w:spacing w:after="40"/>
      </w:pPr>
      <w:r>
        <w:rPr>
          <w:rFonts w:ascii="Microsoft YaHei" w:hAnsi="Microsoft YaHei" w:eastAsia="Microsoft YaHei"/>
        </w:rPr>
        <w:t>重新登录，确认右上角用户信息、当前租户/应用和可见菜单。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登录成功后只显示当前角色拥有权限的菜单。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强制改密期间只授予 auth:password:change。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连续失败锁定、历史口令和最大有效期按环境策略执行。</w:t>
      </w:r>
    </w:p>
    <w:p>
      <w:r>
        <w:rPr>
          <w:rFonts w:ascii="Microsoft YaHei" w:hAnsi="Microsoft YaHei" w:eastAsia="Microsoft YaHei"/>
          <w:b/>
          <w:color w:val="1A2433"/>
        </w:rPr>
        <w:t>控制点：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密码至少 12 字符并包含大小写、数字、符号；不含用户名；常见口令被拒绝。</w:t>
      </w:r>
    </w:p>
    <w:p>
      <w:pPr>
        <w:pStyle w:val="Heading2"/>
      </w:pPr>
      <w:r>
        <w:t>4.2 切换应用作用域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具有 application:read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同一租户下存在多个 active 应用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13"/>
        </w:numPr>
        <w:spacing w:after="40"/>
      </w:pPr>
      <w:r>
        <w:rPr>
          <w:rFonts w:ascii="Microsoft YaHei" w:hAnsi="Microsoft YaHei" w:eastAsia="Microsoft YaHei"/>
        </w:rPr>
        <w:t>打开左侧导航上方或用户区域的应用选择器。</w:t>
      </w:r>
    </w:p>
    <w:p>
      <w:pPr>
        <w:pStyle w:val="ListNumber"/>
        <w:numPr>
          <w:ilvl w:val="0"/>
          <w:numId w:val="13"/>
        </w:numPr>
        <w:spacing w:after="40"/>
      </w:pPr>
      <w:r>
        <w:rPr>
          <w:rFonts w:ascii="Microsoft YaHei" w:hAnsi="Microsoft YaHei" w:eastAsia="Microsoft YaHei"/>
        </w:rPr>
        <w:t>选择目标应用，等待作用域切换请求完成。</w:t>
      </w:r>
    </w:p>
    <w:p>
      <w:pPr>
        <w:pStyle w:val="ListNumber"/>
        <w:numPr>
          <w:ilvl w:val="0"/>
          <w:numId w:val="13"/>
        </w:numPr>
        <w:spacing w:after="40"/>
      </w:pPr>
      <w:r>
        <w:rPr>
          <w:rFonts w:ascii="Microsoft YaHei" w:hAnsi="Microsoft YaHei" w:eastAsia="Microsoft YaHei"/>
        </w:rPr>
        <w:t>刷新页面并检查策略、历史、统计是否属于新应用。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会话中的 applicationId 更新。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跨应用数据不会混入当前视图。</w:t>
      </w:r>
    </w:p>
    <w:p>
      <w:r>
        <w:rPr>
          <w:rFonts w:ascii="Microsoft YaHei" w:hAnsi="Microsoft YaHei" w:eastAsia="Microsoft YaHei"/>
          <w:b/>
          <w:color w:val="1A2433"/>
        </w:rPr>
        <w:t>控制点：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切换失败时不要重复写操作；先核对应用状态与成员默认作用域。</w:t>
      </w:r>
    </w:p>
    <w:p>
      <w:pPr>
        <w:pStyle w:val="Heading1"/>
      </w:pPr>
      <w:r>
        <w:t>5. 控制台逐项操作</w:t>
      </w:r>
    </w:p>
    <w:p>
      <w:pPr>
        <w:pStyle w:val="Heading2"/>
      </w:pPr>
      <w:r>
        <w:t>5.1 安全对话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BUSINESS_OPERATOR / APP_DEVELOPER 或具备 guard:use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至少一个可用模型供应商与默认策略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14"/>
        </w:numPr>
        <w:spacing w:after="40"/>
      </w:pPr>
      <w:r>
        <w:rPr>
          <w:rFonts w:ascii="Microsoft YaHei" w:hAnsi="Microsoft YaHei" w:eastAsia="Microsoft YaHei"/>
        </w:rPr>
        <w:t>进入“安全对话”。</w:t>
      </w:r>
    </w:p>
    <w:p>
      <w:pPr>
        <w:pStyle w:val="ListNumber"/>
        <w:numPr>
          <w:ilvl w:val="0"/>
          <w:numId w:val="14"/>
        </w:numPr>
        <w:spacing w:after="40"/>
      </w:pPr>
      <w:r>
        <w:rPr>
          <w:rFonts w:ascii="Microsoft YaHei" w:hAnsi="Microsoft YaHei" w:eastAsia="Microsoft YaHei"/>
        </w:rPr>
        <w:t>选择模型/策略和检测方向，输入正常问题并发送。</w:t>
      </w:r>
    </w:p>
    <w:p>
      <w:pPr>
        <w:pStyle w:val="ListNumber"/>
        <w:numPr>
          <w:ilvl w:val="0"/>
          <w:numId w:val="14"/>
        </w:numPr>
        <w:spacing w:after="40"/>
      </w:pPr>
      <w:r>
        <w:rPr>
          <w:rFonts w:ascii="Microsoft YaHei" w:hAnsi="Microsoft YaHei" w:eastAsia="Microsoft YaHei"/>
        </w:rPr>
        <w:t>观察用户输入检测、模型响应、输出检测、动作、风险分和命中维度。</w:t>
      </w:r>
    </w:p>
    <w:p>
      <w:pPr>
        <w:pStyle w:val="ListNumber"/>
        <w:numPr>
          <w:ilvl w:val="0"/>
          <w:numId w:val="14"/>
        </w:numPr>
        <w:spacing w:after="40"/>
      </w:pPr>
      <w:r>
        <w:rPr>
          <w:rFonts w:ascii="Microsoft YaHei" w:hAnsi="Microsoft YaHei" w:eastAsia="Microsoft YaHei"/>
        </w:rPr>
        <w:t>输入授权测试样本验证 warn/mask/rewrite/block；记录请求 ID。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正常内容按策略放行。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风险内容执行配置动作并展示证据。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历史记录可按请求/会话追溯。</w:t>
      </w:r>
    </w:p>
    <w:p>
      <w:r>
        <w:rPr>
          <w:rFonts w:ascii="Microsoft YaHei" w:hAnsi="Microsoft YaHei" w:eastAsia="Microsoft YaHei"/>
          <w:b/>
          <w:color w:val="1A2433"/>
        </w:rPr>
        <w:t>控制点：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禁止在生产输入真实密钥或未经批准的个人信息。</w:t>
      </w:r>
    </w:p>
    <w:p>
      <w:pPr>
        <w:pStyle w:val="Heading2"/>
      </w:pPr>
      <w:r>
        <w:t>5.2 链路演示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guard:use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策略和模型可用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15"/>
        </w:numPr>
        <w:spacing w:after="40"/>
      </w:pPr>
      <w:r>
        <w:rPr>
          <w:rFonts w:ascii="Microsoft YaHei" w:hAnsi="Microsoft YaHei" w:eastAsia="Microsoft YaHei"/>
        </w:rPr>
        <w:t>进入“链路演示”。</w:t>
      </w:r>
    </w:p>
    <w:p>
      <w:pPr>
        <w:pStyle w:val="ListNumber"/>
        <w:numPr>
          <w:ilvl w:val="0"/>
          <w:numId w:val="15"/>
        </w:numPr>
        <w:spacing w:after="40"/>
      </w:pPr>
      <w:r>
        <w:rPr>
          <w:rFonts w:ascii="Microsoft YaHei" w:hAnsi="Microsoft YaHei" w:eastAsia="Microsoft YaHei"/>
        </w:rPr>
        <w:t>输入测试文本并选择场景。</w:t>
      </w:r>
    </w:p>
    <w:p>
      <w:pPr>
        <w:pStyle w:val="ListNumber"/>
        <w:numPr>
          <w:ilvl w:val="0"/>
          <w:numId w:val="15"/>
        </w:numPr>
        <w:spacing w:after="40"/>
      </w:pPr>
      <w:r>
        <w:rPr>
          <w:rFonts w:ascii="Microsoft YaHei" w:hAnsi="Microsoft YaHei" w:eastAsia="Microsoft YaHei"/>
        </w:rPr>
        <w:t>执行模拟，依次检查规范化、规则/语义/Judge、聚合、处置和记录阶段。</w:t>
      </w:r>
    </w:p>
    <w:p>
      <w:pPr>
        <w:pStyle w:val="ListNumber"/>
        <w:numPr>
          <w:ilvl w:val="0"/>
          <w:numId w:val="15"/>
        </w:numPr>
        <w:spacing w:after="40"/>
      </w:pPr>
      <w:r>
        <w:rPr>
          <w:rFonts w:ascii="Microsoft YaHei" w:hAnsi="Microsoft YaHei" w:eastAsia="Microsoft YaHei"/>
        </w:rPr>
        <w:t>保存 Trace ID，用于与历史和审计事件核对。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页面展示完整检测流程和最终动作。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任一节点失败遵循策略包中的失败策略。</w:t>
      </w:r>
    </w:p>
    <w:p>
      <w:pPr>
        <w:pStyle w:val="Heading2"/>
      </w:pPr>
      <w:r>
        <w:t>5.3 文档检测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SECURITY_ADMIN 或 security:operate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对象存储/解析器/Worker 已配置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16"/>
        </w:numPr>
        <w:spacing w:after="40"/>
      </w:pPr>
      <w:r>
        <w:rPr>
          <w:rFonts w:ascii="Microsoft YaHei" w:hAnsi="Microsoft YaHei" w:eastAsia="Microsoft YaHei"/>
        </w:rPr>
        <w:t>进入“文档检测”，上传获准的 TXT、MD、PDF 或 DOCX。</w:t>
      </w:r>
    </w:p>
    <w:p>
      <w:pPr>
        <w:pStyle w:val="ListNumber"/>
        <w:numPr>
          <w:ilvl w:val="0"/>
          <w:numId w:val="16"/>
        </w:numPr>
        <w:spacing w:after="40"/>
      </w:pPr>
      <w:r>
        <w:rPr>
          <w:rFonts w:ascii="Microsoft YaHei" w:hAnsi="Microsoft YaHei" w:eastAsia="Microsoft YaHei"/>
        </w:rPr>
        <w:t>确认文件名、大小、类型、摘要与上传状态。</w:t>
      </w:r>
    </w:p>
    <w:p>
      <w:pPr>
        <w:pStyle w:val="ListNumber"/>
        <w:numPr>
          <w:ilvl w:val="0"/>
          <w:numId w:val="16"/>
        </w:numPr>
        <w:spacing w:after="40"/>
      </w:pPr>
      <w:r>
        <w:rPr>
          <w:rFonts w:ascii="Microsoft YaHei" w:hAnsi="Microsoft YaHei" w:eastAsia="Microsoft YaHei"/>
        </w:rPr>
        <w:t>等待异步扫描完成；必要时使用“重试”或“重新扫描”。</w:t>
      </w:r>
    </w:p>
    <w:p>
      <w:pPr>
        <w:pStyle w:val="ListNumber"/>
        <w:numPr>
          <w:ilvl w:val="0"/>
          <w:numId w:val="16"/>
        </w:numPr>
        <w:spacing w:after="40"/>
      </w:pPr>
      <w:r>
        <w:rPr>
          <w:rFonts w:ascii="Microsoft YaHei" w:hAnsi="Microsoft YaHei" w:eastAsia="Microsoft YaHei"/>
        </w:rPr>
        <w:t>打开详情，检查发现项、位置、高亮、维度、证据和处置。</w:t>
      </w:r>
    </w:p>
    <w:p>
      <w:pPr>
        <w:pStyle w:val="ListNumber"/>
        <w:numPr>
          <w:ilvl w:val="0"/>
          <w:numId w:val="16"/>
        </w:numPr>
        <w:spacing w:after="40"/>
      </w:pPr>
      <w:r>
        <w:rPr>
          <w:rFonts w:ascii="Microsoft YaHei" w:hAnsi="Microsoft YaHei" w:eastAsia="Microsoft YaHei"/>
        </w:rPr>
        <w:t>对发现项提交复核结论并记录理由。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不合规文件在安全入口被拒绝。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扫描状态、尝试和发现项可追踪。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重试不覆盖首次证据。</w:t>
      </w:r>
    </w:p>
    <w:p>
      <w:r>
        <w:rPr>
          <w:rFonts w:ascii="Microsoft YaHei" w:hAnsi="Microsoft YaHei" w:eastAsia="Microsoft YaHei"/>
          <w:b/>
          <w:color w:val="1A2433"/>
        </w:rPr>
        <w:t>控制点：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Office/压缩包/AV/OCR 等真实分析器必须已准入；否则仅验证已配置能力。</w:t>
      </w:r>
    </w:p>
    <w:p>
      <w:pPr>
        <w:pStyle w:val="Heading2"/>
      </w:pPr>
      <w:r>
        <w:t>5.4 检测维度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SECURITY_ADMIN 或 policy:manage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具备目标应用作用域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17"/>
        </w:numPr>
        <w:spacing w:after="40"/>
      </w:pPr>
      <w:r>
        <w:rPr>
          <w:rFonts w:ascii="Microsoft YaHei" w:hAnsi="Microsoft YaHei" w:eastAsia="Microsoft YaHei"/>
        </w:rPr>
        <w:t>进入“检测维度”，筛选并打开目标维度。</w:t>
      </w:r>
    </w:p>
    <w:p>
      <w:pPr>
        <w:pStyle w:val="ListNumber"/>
        <w:numPr>
          <w:ilvl w:val="0"/>
          <w:numId w:val="17"/>
        </w:numPr>
        <w:spacing w:after="40"/>
      </w:pPr>
      <w:r>
        <w:rPr>
          <w:rFonts w:ascii="Microsoft YaHei" w:hAnsi="Microsoft YaHei" w:eastAsia="Microsoft YaHei"/>
        </w:rPr>
        <w:t>调整描述、启停状态或规则；保存。</w:t>
      </w:r>
    </w:p>
    <w:p>
      <w:pPr>
        <w:pStyle w:val="ListNumber"/>
        <w:numPr>
          <w:ilvl w:val="0"/>
          <w:numId w:val="17"/>
        </w:numPr>
        <w:spacing w:after="40"/>
      </w:pPr>
      <w:r>
        <w:rPr>
          <w:rFonts w:ascii="Microsoft YaHei" w:hAnsi="Microsoft YaHei" w:eastAsia="Microsoft YaHei"/>
        </w:rPr>
        <w:t>在维度测试区输入正例与反例，检查风险结果。</w:t>
      </w:r>
    </w:p>
    <w:p>
      <w:pPr>
        <w:pStyle w:val="ListNumber"/>
        <w:numPr>
          <w:ilvl w:val="0"/>
          <w:numId w:val="17"/>
        </w:numPr>
        <w:spacing w:after="40"/>
      </w:pPr>
      <w:r>
        <w:rPr>
          <w:rFonts w:ascii="Microsoft YaHei" w:hAnsi="Microsoft YaHei" w:eastAsia="Microsoft YaHei"/>
        </w:rPr>
        <w:t>记录变更原因并在策略发布前执行回归。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配置保存并产生控制面审计。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测试结果与规则优先级和动作一致。</w:t>
      </w:r>
    </w:p>
    <w:p>
      <w:pPr>
        <w:pStyle w:val="Heading2"/>
      </w:pPr>
      <w:r>
        <w:t>5.5 白名单规则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SECURITY_ADMIN 或 policy:manage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已存在策略和维度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18"/>
        </w:numPr>
        <w:spacing w:after="40"/>
      </w:pPr>
      <w:r>
        <w:rPr>
          <w:rFonts w:ascii="Microsoft YaHei" w:hAnsi="Microsoft YaHei" w:eastAsia="Microsoft YaHei"/>
        </w:rPr>
        <w:t>进入“白名单规则”，点击创建。</w:t>
      </w:r>
    </w:p>
    <w:p>
      <w:pPr>
        <w:pStyle w:val="ListNumber"/>
        <w:numPr>
          <w:ilvl w:val="0"/>
          <w:numId w:val="18"/>
        </w:numPr>
        <w:spacing w:after="40"/>
      </w:pPr>
      <w:r>
        <w:rPr>
          <w:rFonts w:ascii="Microsoft YaHei" w:hAnsi="Microsoft YaHei" w:eastAsia="Microsoft YaHei"/>
        </w:rPr>
        <w:t>填写名称、用途、匹配文本/方式、优先级、策略范围和维度范围。</w:t>
      </w:r>
    </w:p>
    <w:p>
      <w:pPr>
        <w:pStyle w:val="ListNumber"/>
        <w:numPr>
          <w:ilvl w:val="0"/>
          <w:numId w:val="18"/>
        </w:numPr>
        <w:spacing w:after="40"/>
      </w:pPr>
      <w:r>
        <w:rPr>
          <w:rFonts w:ascii="Microsoft YaHei" w:hAnsi="Microsoft YaHei" w:eastAsia="Microsoft YaHei"/>
        </w:rPr>
        <w:t>保存后使用“测试白名单”，选择策略并输入命中与不命中文本。</w:t>
      </w:r>
    </w:p>
    <w:p>
      <w:pPr>
        <w:pStyle w:val="ListNumber"/>
        <w:numPr>
          <w:ilvl w:val="0"/>
          <w:numId w:val="18"/>
        </w:numPr>
        <w:spacing w:after="40"/>
      </w:pPr>
      <w:r>
        <w:rPr>
          <w:rFonts w:ascii="Microsoft YaHei" w:hAnsi="Microsoft YaHei" w:eastAsia="Microsoft YaHei"/>
        </w:rPr>
        <w:t>验证命中只影响配置范围；必要时停用或删除。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白名单命中信息可解释。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其他策略/维度仍按正常规则检测。</w:t>
      </w:r>
    </w:p>
    <w:p>
      <w:r>
        <w:rPr>
          <w:rFonts w:ascii="Microsoft YaHei" w:hAnsi="Microsoft YaHei" w:eastAsia="Microsoft YaHei"/>
          <w:b/>
          <w:color w:val="1A2433"/>
        </w:rPr>
        <w:t>控制点：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禁止创建无范围的全局兜底白名单；误报优化必须回归攻击样本。</w:t>
      </w:r>
    </w:p>
    <w:p>
      <w:pPr>
        <w:pStyle w:val="Heading2"/>
      </w:pPr>
      <w:r>
        <w:t>5.6 策略配置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SECURITY_ADMIN 或 policy:manage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维度和模型配置已就绪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19"/>
        </w:numPr>
        <w:spacing w:after="40"/>
      </w:pPr>
      <w:r>
        <w:rPr>
          <w:rFonts w:ascii="Microsoft YaHei" w:hAnsi="Microsoft YaHei" w:eastAsia="Microsoft YaHei"/>
        </w:rPr>
        <w:t>进入“策略配置”，创建新策略或从基线策略克隆。</w:t>
      </w:r>
    </w:p>
    <w:p>
      <w:pPr>
        <w:pStyle w:val="ListNumber"/>
        <w:numPr>
          <w:ilvl w:val="0"/>
          <w:numId w:val="19"/>
        </w:numPr>
        <w:spacing w:after="40"/>
      </w:pPr>
      <w:r>
        <w:rPr>
          <w:rFonts w:ascii="Microsoft YaHei" w:hAnsi="Microsoft YaHei" w:eastAsia="Microsoft YaHei"/>
        </w:rPr>
        <w:t>填写名称、描述和标签，设置启用/默认状态。</w:t>
      </w:r>
    </w:p>
    <w:p>
      <w:pPr>
        <w:pStyle w:val="ListNumber"/>
        <w:numPr>
          <w:ilvl w:val="0"/>
          <w:numId w:val="19"/>
        </w:numPr>
        <w:spacing w:after="40"/>
      </w:pPr>
      <w:r>
        <w:rPr>
          <w:rFonts w:ascii="Microsoft YaHei" w:hAnsi="Microsoft YaHei" w:eastAsia="Microsoft YaHei"/>
        </w:rPr>
        <w:t>进入详情，在“检测规则”配置维度开关、阈值和动作。</w:t>
      </w:r>
    </w:p>
    <w:p>
      <w:pPr>
        <w:pStyle w:val="ListNumber"/>
        <w:numPr>
          <w:ilvl w:val="0"/>
          <w:numId w:val="19"/>
        </w:numPr>
        <w:spacing w:after="40"/>
      </w:pPr>
      <w:r>
        <w:rPr>
          <w:rFonts w:ascii="Microsoft YaHei" w:hAnsi="Microsoft YaHei" w:eastAsia="Microsoft YaHei"/>
        </w:rPr>
        <w:t>在“Judge”“升级策略”“关键词”分别设置模型判定、升级条件与词表。</w:t>
      </w:r>
    </w:p>
    <w:p>
      <w:pPr>
        <w:pStyle w:val="ListNumber"/>
        <w:numPr>
          <w:ilvl w:val="0"/>
          <w:numId w:val="19"/>
        </w:numPr>
        <w:spacing w:after="40"/>
      </w:pPr>
      <w:r>
        <w:rPr>
          <w:rFonts w:ascii="Microsoft YaHei" w:hAnsi="Microsoft YaHei" w:eastAsia="Microsoft YaHei"/>
        </w:rPr>
        <w:t>保存并执行 A/B 对比；检查版本历史。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策略形成新版本而非静默覆盖。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A/B 结果显示动作、风险和差异。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关键词支持批量导入与 CSV 导出。</w:t>
      </w:r>
    </w:p>
    <w:p>
      <w:pPr>
        <w:pStyle w:val="Heading2"/>
      </w:pPr>
      <w:r>
        <w:t>5.7 策略发布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SECURITY_ADMIN 或 policy:manage；审批人必须与创建人不同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策略已冻结，评测数据和 Worker 可用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20"/>
        </w:numPr>
        <w:spacing w:after="40"/>
      </w:pPr>
      <w:r>
        <w:rPr>
          <w:rFonts w:ascii="Microsoft YaHei" w:hAnsi="Microsoft YaHei" w:eastAsia="Microsoft YaHei"/>
        </w:rPr>
        <w:t>在“策略发布”选择策略并编译策略包。</w:t>
      </w:r>
    </w:p>
    <w:p>
      <w:pPr>
        <w:pStyle w:val="ListNumber"/>
        <w:numPr>
          <w:ilvl w:val="0"/>
          <w:numId w:val="20"/>
        </w:numPr>
        <w:spacing w:after="40"/>
      </w:pPr>
      <w:r>
        <w:rPr>
          <w:rFonts w:ascii="Microsoft YaHei" w:hAnsi="Microsoft YaHei" w:eastAsia="Microsoft YaHei"/>
        </w:rPr>
        <w:t>提交测试，创建并完成绑定该 Bundle 的评测运行。</w:t>
      </w:r>
    </w:p>
    <w:p>
      <w:pPr>
        <w:pStyle w:val="ListNumber"/>
        <w:numPr>
          <w:ilvl w:val="0"/>
          <w:numId w:val="20"/>
        </w:numPr>
        <w:spacing w:after="40"/>
      </w:pPr>
      <w:r>
        <w:rPr>
          <w:rFonts w:ascii="Microsoft YaHei" w:hAnsi="Microsoft YaHei" w:eastAsia="Microsoft YaHei"/>
        </w:rPr>
        <w:t>记录测试通过；确认样本数和 Accuracy/Recall/FPR/FNR 均达到门禁。</w:t>
      </w:r>
    </w:p>
    <w:p>
      <w:pPr>
        <w:pStyle w:val="ListNumber"/>
        <w:numPr>
          <w:ilvl w:val="0"/>
          <w:numId w:val="20"/>
        </w:numPr>
        <w:spacing w:after="40"/>
      </w:pPr>
      <w:r>
        <w:rPr>
          <w:rFonts w:ascii="Microsoft YaHei" w:hAnsi="Microsoft YaHei" w:eastAsia="Microsoft YaHei"/>
        </w:rPr>
        <w:t>由不同主体审批通过。</w:t>
      </w:r>
    </w:p>
    <w:p>
      <w:pPr>
        <w:pStyle w:val="ListNumber"/>
        <w:numPr>
          <w:ilvl w:val="0"/>
          <w:numId w:val="20"/>
        </w:numPr>
        <w:spacing w:after="40"/>
      </w:pPr>
      <w:r>
        <w:rPr>
          <w:rFonts w:ascii="Microsoft YaHei" w:hAnsi="Microsoft YaHei" w:eastAsia="Microsoft YaHei"/>
        </w:rPr>
        <w:t>进入影子模式，观察无业务影响的差异。</w:t>
      </w:r>
    </w:p>
    <w:p>
      <w:pPr>
        <w:pStyle w:val="ListNumber"/>
        <w:numPr>
          <w:ilvl w:val="0"/>
          <w:numId w:val="20"/>
        </w:numPr>
        <w:spacing w:after="40"/>
      </w:pPr>
      <w:r>
        <w:rPr>
          <w:rFonts w:ascii="Microsoft YaHei" w:hAnsi="Microsoft YaHei" w:eastAsia="Microsoft YaHei"/>
        </w:rPr>
        <w:t>按 1%~99% 设置灰度，监控风险、错误率、时延和资源。</w:t>
      </w:r>
    </w:p>
    <w:p>
      <w:pPr>
        <w:pStyle w:val="ListNumber"/>
        <w:numPr>
          <w:ilvl w:val="0"/>
          <w:numId w:val="20"/>
        </w:numPr>
        <w:spacing w:after="40"/>
      </w:pPr>
      <w:r>
        <w:rPr>
          <w:rFonts w:ascii="Microsoft YaHei" w:hAnsi="Microsoft YaHei" w:eastAsia="Microsoft YaHei"/>
        </w:rPr>
        <w:t>全量发布；如健康信号不满足，执行一键回滚并填写原因。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状态只能按合法状态机迁移。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评测证据、审批人、时间和原因可追溯。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回滚恢复上一签名策略包及关联资源配置。</w:t>
      </w:r>
    </w:p>
    <w:p>
      <w:r>
        <w:rPr>
          <w:rFonts w:ascii="Microsoft YaHei" w:hAnsi="Microsoft YaHei" w:eastAsia="Microsoft YaHei"/>
          <w:b/>
          <w:color w:val="1A2433"/>
        </w:rPr>
        <w:t>控制点：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默认门禁：至少 2000 条，Accuracy≥95%、Recall≥95%、FPR≤1%、FNR≤5%；客户可加严。</w:t>
      </w:r>
    </w:p>
    <w:p>
      <w:pPr>
        <w:pStyle w:val="Heading2"/>
      </w:pPr>
      <w:r>
        <w:t>5.8 模型供应商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SYSTEM_ADMIN 可管理；SECURITY_ADMIN 可测试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端点已获准并进入 allowlist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21"/>
        </w:numPr>
        <w:spacing w:after="40"/>
      </w:pPr>
      <w:r>
        <w:rPr>
          <w:rFonts w:ascii="Microsoft YaHei" w:hAnsi="Microsoft YaHei" w:eastAsia="Microsoft YaHei"/>
        </w:rPr>
        <w:t>进入“模型管理”，新增供应商。</w:t>
      </w:r>
    </w:p>
    <w:p>
      <w:pPr>
        <w:pStyle w:val="ListNumber"/>
        <w:numPr>
          <w:ilvl w:val="0"/>
          <w:numId w:val="21"/>
        </w:numPr>
        <w:spacing w:after="40"/>
      </w:pPr>
      <w:r>
        <w:rPr>
          <w:rFonts w:ascii="Microsoft YaHei" w:hAnsi="Microsoft YaHei" w:eastAsia="Microsoft YaHei"/>
        </w:rPr>
        <w:t>填写代码、显示名称、供应商类型、Base URL、模型名和 API Key。</w:t>
      </w:r>
    </w:p>
    <w:p>
      <w:pPr>
        <w:pStyle w:val="ListNumber"/>
        <w:numPr>
          <w:ilvl w:val="0"/>
          <w:numId w:val="21"/>
        </w:numPr>
        <w:spacing w:after="40"/>
      </w:pPr>
      <w:r>
        <w:rPr>
          <w:rFonts w:ascii="Microsoft YaHei" w:hAnsi="Microsoft YaHei" w:eastAsia="Microsoft YaHei"/>
        </w:rPr>
        <w:t>保存后执行连接测试。</w:t>
      </w:r>
    </w:p>
    <w:p>
      <w:pPr>
        <w:pStyle w:val="ListNumber"/>
        <w:numPr>
          <w:ilvl w:val="0"/>
          <w:numId w:val="21"/>
        </w:numPr>
        <w:spacing w:after="40"/>
      </w:pPr>
      <w:r>
        <w:rPr>
          <w:rFonts w:ascii="Microsoft YaHei" w:hAnsi="Microsoft YaHei" w:eastAsia="Microsoft YaHei"/>
        </w:rPr>
        <w:t>确认启用状态；在安全对话或评测中选择该供应商。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密钥以受控方式保存，不回显原文。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连接测试显示成功或可诊断错误。</w:t>
      </w:r>
    </w:p>
    <w:p>
      <w:r>
        <w:rPr>
          <w:rFonts w:ascii="Microsoft YaHei" w:hAnsi="Microsoft YaHei" w:eastAsia="Microsoft YaHei"/>
          <w:b/>
          <w:color w:val="1A2433"/>
        </w:rPr>
        <w:t>控制点：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生产密钥应通过外部 Secret/KMS 注入；Base URL 必须 HTTPS 并显式放行。</w:t>
      </w:r>
    </w:p>
    <w:p>
      <w:pPr>
        <w:pStyle w:val="Heading2"/>
      </w:pPr>
      <w:r>
        <w:t>5.9 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SECURITY_ADMIN 或 policy:manage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测试数据已脱敏并获授权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22"/>
        </w:numPr>
        <w:spacing w:after="40"/>
      </w:pPr>
      <w:r>
        <w:rPr>
          <w:rFonts w:ascii="Microsoft YaHei" w:hAnsi="Microsoft YaHei" w:eastAsia="Microsoft YaHei"/>
        </w:rPr>
        <w:t>进入“测试用例”，新增用例。</w:t>
      </w:r>
    </w:p>
    <w:p>
      <w:pPr>
        <w:pStyle w:val="ListNumber"/>
        <w:numPr>
          <w:ilvl w:val="0"/>
          <w:numId w:val="22"/>
        </w:numPr>
        <w:spacing w:after="40"/>
      </w:pPr>
      <w:r>
        <w:rPr>
          <w:rFonts w:ascii="Microsoft YaHei" w:hAnsi="Microsoft YaHei" w:eastAsia="Microsoft YaHei"/>
        </w:rPr>
        <w:t>填写标题、类别、描述、输入、可选预期输出、预期动作、严重度和预期维度。</w:t>
      </w:r>
    </w:p>
    <w:p>
      <w:pPr>
        <w:pStyle w:val="ListNumber"/>
        <w:numPr>
          <w:ilvl w:val="0"/>
          <w:numId w:val="22"/>
        </w:numPr>
        <w:spacing w:after="40"/>
      </w:pPr>
      <w:r>
        <w:rPr>
          <w:rFonts w:ascii="Microsoft YaHei" w:hAnsi="Microsoft YaHei" w:eastAsia="Microsoft YaHei"/>
        </w:rPr>
        <w:t>保存后单条执行；检查实际动作和风险。</w:t>
      </w:r>
    </w:p>
    <w:p>
      <w:pPr>
        <w:pStyle w:val="ListNumber"/>
        <w:numPr>
          <w:ilvl w:val="0"/>
          <w:numId w:val="22"/>
        </w:numPr>
        <w:spacing w:after="40"/>
      </w:pPr>
      <w:r>
        <w:rPr>
          <w:rFonts w:ascii="Microsoft YaHei" w:hAnsi="Microsoft YaHei" w:eastAsia="Microsoft YaHei"/>
        </w:rPr>
        <w:t>编辑或删除前确认不会破坏已绑定的发布证据。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用例可按类别和严重度检索。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执行结果保存并可用于评测。</w:t>
      </w:r>
    </w:p>
    <w:p>
      <w:pPr>
        <w:pStyle w:val="Heading2"/>
      </w:pPr>
      <w:r>
        <w:t>5.10 多模型评测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policy:read 且可读取供应商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至少一个策略、两个可用供应商或多个模型、测试用例可用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23"/>
        </w:numPr>
        <w:spacing w:after="40"/>
      </w:pPr>
      <w:r>
        <w:rPr>
          <w:rFonts w:ascii="Microsoft YaHei" w:hAnsi="Microsoft YaHei" w:eastAsia="Microsoft YaHei"/>
        </w:rPr>
        <w:t>进入“多模型评测”，选择策略。</w:t>
      </w:r>
    </w:p>
    <w:p>
      <w:pPr>
        <w:pStyle w:val="ListNumber"/>
        <w:numPr>
          <w:ilvl w:val="0"/>
          <w:numId w:val="23"/>
        </w:numPr>
        <w:spacing w:after="40"/>
      </w:pPr>
      <w:r>
        <w:rPr>
          <w:rFonts w:ascii="Microsoft YaHei" w:hAnsi="Microsoft YaHei" w:eastAsia="Microsoft YaHei"/>
        </w:rPr>
        <w:t>选择一个或多个模型供应商。</w:t>
      </w:r>
    </w:p>
    <w:p>
      <w:pPr>
        <w:pStyle w:val="ListNumber"/>
        <w:numPr>
          <w:ilvl w:val="0"/>
          <w:numId w:val="23"/>
        </w:numPr>
        <w:spacing w:after="40"/>
      </w:pPr>
      <w:r>
        <w:rPr>
          <w:rFonts w:ascii="Microsoft YaHei" w:hAnsi="Microsoft YaHei" w:eastAsia="Microsoft YaHei"/>
        </w:rPr>
        <w:t>选择题集或测试用例，启动评测。</w:t>
      </w:r>
    </w:p>
    <w:p>
      <w:pPr>
        <w:pStyle w:val="ListNumber"/>
        <w:numPr>
          <w:ilvl w:val="0"/>
          <w:numId w:val="23"/>
        </w:numPr>
        <w:spacing w:after="40"/>
      </w:pPr>
      <w:r>
        <w:rPr>
          <w:rFonts w:ascii="Microsoft YaHei" w:hAnsi="Microsoft YaHei" w:eastAsia="Microsoft YaHei"/>
        </w:rPr>
        <w:t>比较动作、风险、通过率、错误和时延，导出需要复核的 badcase。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相同输入在各模型/策略下可横向比较。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失败请求不会被统计为有效安全结论。</w:t>
      </w:r>
    </w:p>
    <w:p>
      <w:pPr>
        <w:pStyle w:val="Heading2"/>
      </w:pPr>
      <w:r>
        <w:t>5.11 评测门禁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policy:read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evaluation:worker 运行，数据集摘要已冻结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24"/>
        </w:numPr>
        <w:spacing w:after="40"/>
      </w:pPr>
      <w:r>
        <w:rPr>
          <w:rFonts w:ascii="Microsoft YaHei" w:hAnsi="Microsoft YaHei" w:eastAsia="Microsoft YaHei"/>
        </w:rPr>
        <w:t>进入“评测门禁”，新建评测运行并绑定策略包/数据集。</w:t>
      </w:r>
    </w:p>
    <w:p>
      <w:pPr>
        <w:pStyle w:val="ListNumber"/>
        <w:numPr>
          <w:ilvl w:val="0"/>
          <w:numId w:val="24"/>
        </w:numPr>
        <w:spacing w:after="40"/>
      </w:pPr>
      <w:r>
        <w:rPr>
          <w:rFonts w:ascii="Microsoft YaHei" w:hAnsi="Microsoft YaHei" w:eastAsia="Microsoft YaHei"/>
        </w:rPr>
        <w:t>启动运行并观察排队、执行、完成/失败状态。</w:t>
      </w:r>
    </w:p>
    <w:p>
      <w:pPr>
        <w:pStyle w:val="ListNumber"/>
        <w:numPr>
          <w:ilvl w:val="0"/>
          <w:numId w:val="24"/>
        </w:numPr>
        <w:spacing w:after="40"/>
      </w:pPr>
      <w:r>
        <w:rPr>
          <w:rFonts w:ascii="Microsoft YaHei" w:hAnsi="Microsoft YaHei" w:eastAsia="Microsoft YaHei"/>
        </w:rPr>
        <w:t>核对总数、完成数、Accuracy、Recall、FPR、FNR 与完整性校验。</w:t>
      </w:r>
    </w:p>
    <w:p>
      <w:pPr>
        <w:pStyle w:val="ListNumber"/>
        <w:numPr>
          <w:ilvl w:val="0"/>
          <w:numId w:val="24"/>
        </w:numPr>
        <w:spacing w:after="40"/>
      </w:pPr>
      <w:r>
        <w:rPr>
          <w:rFonts w:ascii="Microsoft YaHei" w:hAnsi="Microsoft YaHei" w:eastAsia="Microsoft YaHei"/>
        </w:rPr>
        <w:t>将通过的运行用于策略包“记录测试通过”。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首次尝试证据不可被重试覆盖。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不满足门禁的运行不能推动策略审批。</w:t>
      </w:r>
    </w:p>
    <w:p>
      <w:pPr>
        <w:pStyle w:val="Heading2"/>
      </w:pPr>
      <w:r>
        <w:t>5.12 检测看板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history:read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已产生检测数据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25"/>
        </w:numPr>
        <w:spacing w:after="40"/>
      </w:pPr>
      <w:r>
        <w:rPr>
          <w:rFonts w:ascii="Microsoft YaHei" w:hAnsi="Microsoft YaHei" w:eastAsia="Microsoft YaHei"/>
        </w:rPr>
        <w:t>进入“检测看板”。</w:t>
      </w:r>
    </w:p>
    <w:p>
      <w:pPr>
        <w:pStyle w:val="ListNumber"/>
        <w:numPr>
          <w:ilvl w:val="0"/>
          <w:numId w:val="25"/>
        </w:numPr>
        <w:spacing w:after="40"/>
      </w:pPr>
      <w:r>
        <w:rPr>
          <w:rFonts w:ascii="Microsoft YaHei" w:hAnsi="Microsoft YaHei" w:eastAsia="Microsoft YaHei"/>
        </w:rPr>
        <w:t>查看总检测次数、拦截率、平均风险分、平均延迟、动作分布、风险分布和趋势。</w:t>
      </w:r>
    </w:p>
    <w:p>
      <w:pPr>
        <w:pStyle w:val="ListNumber"/>
        <w:numPr>
          <w:ilvl w:val="0"/>
          <w:numId w:val="25"/>
        </w:numPr>
        <w:spacing w:after="40"/>
      </w:pPr>
      <w:r>
        <w:rPr>
          <w:rFonts w:ascii="Microsoft YaHei" w:hAnsi="Microsoft YaHei" w:eastAsia="Microsoft YaHei"/>
        </w:rPr>
        <w:t>点击刷新并与历史记录抽样核对。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统计口径与筛选范围一致。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空数据、部分失败和异常时延不会造成页面错误。</w:t>
      </w:r>
    </w:p>
    <w:p>
      <w:pPr>
        <w:pStyle w:val="Heading2"/>
      </w:pPr>
      <w:r>
        <w:t>5.13 安全事件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SECURITY_ADMIN 或 security:operate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事件表迁移完成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26"/>
        </w:numPr>
        <w:spacing w:after="40"/>
      </w:pPr>
      <w:r>
        <w:rPr>
          <w:rFonts w:ascii="Microsoft YaHei" w:hAnsi="Microsoft YaHei" w:eastAsia="Microsoft YaHei"/>
        </w:rPr>
        <w:t>进入“安全事件”，按状态和严重度筛选，或新建事件。</w:t>
      </w:r>
    </w:p>
    <w:p>
      <w:pPr>
        <w:pStyle w:val="ListNumber"/>
        <w:numPr>
          <w:ilvl w:val="0"/>
          <w:numId w:val="26"/>
        </w:numPr>
        <w:spacing w:after="40"/>
      </w:pPr>
      <w:r>
        <w:rPr>
          <w:rFonts w:ascii="Microsoft YaHei" w:hAnsi="Microsoft YaHei" w:eastAsia="Microsoft YaHei"/>
        </w:rPr>
        <w:t>打开详情，检查事件分析、攻击手法、危害和回答举证。</w:t>
      </w:r>
    </w:p>
    <w:p>
      <w:pPr>
        <w:pStyle w:val="ListNumber"/>
        <w:numPr>
          <w:ilvl w:val="0"/>
          <w:numId w:val="26"/>
        </w:numPr>
        <w:spacing w:after="40"/>
      </w:pPr>
      <w:r>
        <w:rPr>
          <w:rFonts w:ascii="Microsoft YaHei" w:hAnsi="Microsoft YaHei" w:eastAsia="Microsoft YaHei"/>
        </w:rPr>
        <w:t>从待研判转为处理中必须指定责任人。</w:t>
      </w:r>
    </w:p>
    <w:p>
      <w:pPr>
        <w:pStyle w:val="ListNumber"/>
        <w:numPr>
          <w:ilvl w:val="0"/>
          <w:numId w:val="26"/>
        </w:numPr>
        <w:spacing w:after="40"/>
      </w:pPr>
      <w:r>
        <w:rPr>
          <w:rFonts w:ascii="Microsoft YaHei" w:hAnsi="Microsoft YaHei" w:eastAsia="Microsoft YaHei"/>
        </w:rPr>
        <w:t>误报、已整改或已关闭必须填写处置说明。</w:t>
      </w:r>
    </w:p>
    <w:p>
      <w:pPr>
        <w:pStyle w:val="ListNumber"/>
        <w:numPr>
          <w:ilvl w:val="0"/>
          <w:numId w:val="26"/>
        </w:numPr>
        <w:spacing w:after="40"/>
      </w:pPr>
      <w:r>
        <w:rPr>
          <w:rFonts w:ascii="Microsoft YaHei" w:hAnsi="Microsoft YaHei" w:eastAsia="Microsoft YaHei"/>
        </w:rPr>
        <w:t>核对流转记录和 SLA 是否超时。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非法状态迁移被拒绝。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状态、责任人、说明、操作者和时间均被记录。</w:t>
      </w:r>
    </w:p>
    <w:p>
      <w:r>
        <w:rPr>
          <w:rFonts w:ascii="Microsoft YaHei" w:hAnsi="Microsoft YaHei" w:eastAsia="Microsoft YaHei"/>
          <w:b/>
          <w:color w:val="1A2433"/>
        </w:rPr>
        <w:t>控制点：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已关闭事件不可再迁移；需要重开时按组织流程新建或关联事件。</w:t>
      </w:r>
    </w:p>
    <w:p>
      <w:pPr>
        <w:pStyle w:val="Heading2"/>
      </w:pPr>
      <w:r>
        <w:t>5.14 历史记录与 Agent 日志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history:read / audit:read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已产生检测或工具调用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27"/>
        </w:numPr>
        <w:spacing w:after="40"/>
      </w:pPr>
      <w:r>
        <w:rPr>
          <w:rFonts w:ascii="Microsoft YaHei" w:hAnsi="Microsoft YaHei" w:eastAsia="Microsoft YaHei"/>
        </w:rPr>
        <w:t>在“历史记录”按文本、动作、维度和时间筛选。</w:t>
      </w:r>
    </w:p>
    <w:p>
      <w:pPr>
        <w:pStyle w:val="ListNumber"/>
        <w:numPr>
          <w:ilvl w:val="0"/>
          <w:numId w:val="27"/>
        </w:numPr>
        <w:spacing w:after="40"/>
      </w:pPr>
      <w:r>
        <w:rPr>
          <w:rFonts w:ascii="Microsoft YaHei" w:hAnsi="Microsoft YaHei" w:eastAsia="Microsoft YaHei"/>
        </w:rPr>
        <w:t>打开详情，核对输入/输出摘要、节点证据、策略/模型版本和 Trace ID。</w:t>
      </w:r>
    </w:p>
    <w:p>
      <w:pPr>
        <w:pStyle w:val="ListNumber"/>
        <w:numPr>
          <w:ilvl w:val="0"/>
          <w:numId w:val="27"/>
        </w:numPr>
        <w:spacing w:after="40"/>
      </w:pPr>
      <w:r>
        <w:rPr>
          <w:rFonts w:ascii="Microsoft YaHei" w:hAnsi="Microsoft YaHei" w:eastAsia="Microsoft YaHei"/>
        </w:rPr>
        <w:t>在“Agent 日志”按类型筛选并沿工具调用链追踪。</w:t>
      </w:r>
    </w:p>
    <w:p>
      <w:pPr>
        <w:pStyle w:val="ListNumber"/>
        <w:numPr>
          <w:ilvl w:val="0"/>
          <w:numId w:val="27"/>
        </w:numPr>
        <w:spacing w:after="40"/>
      </w:pPr>
      <w:r>
        <w:rPr>
          <w:rFonts w:ascii="Microsoft YaHei" w:hAnsi="Microsoft YaHei" w:eastAsia="Microsoft YaHei"/>
        </w:rPr>
        <w:t>仅在具备 history:manage 且符合留存政策时删除普通历史记录。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一次请求可跨检测、RAG、工具和审计链路关联。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原始敏感内容按 content:raw 权限和环境开关控制。</w:t>
      </w:r>
    </w:p>
    <w:p>
      <w:pPr>
        <w:pStyle w:val="Heading2"/>
      </w:pPr>
      <w:r>
        <w:t>5.15 导出报告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663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AUDIT_ADMIN 或 audit:export；必要时 SECURITY_ADMIN 审批</w:t>
            </w:r>
          </w:p>
        </w:tc>
        <w:tc>
          <w:tcPr>
            <w:tcW w:type="dxa" w:w="6633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导出范围、用途和接收人已获批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A2433"/>
        </w:rPr>
        <w:t>操作步骤：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Number"/>
        <w:numPr>
          <w:ilvl w:val="0"/>
          <w:numId w:val="28"/>
        </w:numPr>
        <w:spacing w:after="40"/>
      </w:pPr>
      <w:r>
        <w:rPr>
          <w:rFonts w:ascii="Microsoft YaHei" w:hAnsi="Microsoft YaHei" w:eastAsia="Microsoft YaHei"/>
        </w:rPr>
        <w:t>进入“导出报告”，选择时间范围、过滤条件和 JSON/CSV/Markdown 格式。</w:t>
      </w:r>
    </w:p>
    <w:p>
      <w:pPr>
        <w:pStyle w:val="ListNumber"/>
        <w:numPr>
          <w:ilvl w:val="0"/>
          <w:numId w:val="28"/>
        </w:numPr>
        <w:spacing w:after="40"/>
      </w:pPr>
      <w:r>
        <w:rPr>
          <w:rFonts w:ascii="Microsoft YaHei" w:hAnsi="Microsoft YaHei" w:eastAsia="Microsoft YaHei"/>
        </w:rPr>
        <w:t>先查看统计，确认记录量和敏感字段范围。</w:t>
      </w:r>
    </w:p>
    <w:p>
      <w:pPr>
        <w:pStyle w:val="ListNumber"/>
        <w:numPr>
          <w:ilvl w:val="0"/>
          <w:numId w:val="28"/>
        </w:numPr>
        <w:spacing w:after="40"/>
      </w:pPr>
      <w:r>
        <w:rPr>
          <w:rFonts w:ascii="Microsoft YaHei" w:hAnsi="Microsoft YaHei" w:eastAsia="Microsoft YaHei"/>
        </w:rPr>
        <w:t>提交导出；生产默认要求双人审批时，等待审批。</w:t>
      </w:r>
    </w:p>
    <w:p>
      <w:pPr>
        <w:pStyle w:val="ListNumber"/>
        <w:numPr>
          <w:ilvl w:val="0"/>
          <w:numId w:val="28"/>
        </w:numPr>
        <w:spacing w:after="40"/>
      </w:pPr>
      <w:r>
        <w:rPr>
          <w:rFonts w:ascii="Microsoft YaHei" w:hAnsi="Microsoft YaHei" w:eastAsia="Microsoft YaHei"/>
        </w:rPr>
        <w:t>下载后核对哈希、生成参数和审计记录，并按保密要求存放。</w:t>
      </w:r>
    </w:p>
    <w:p>
      <w:r>
        <w:rPr>
          <w:rFonts w:ascii="Microsoft YaHei" w:hAnsi="Microsoft YaHei" w:eastAsia="Microsoft YaHei"/>
          <w:b/>
          <w:color w:val="1A2433"/>
        </w:rPr>
        <w:t>预期结果：</w:t>
      </w:r>
      <w:r>
        <w:rPr>
          <w:rFonts w:ascii="Microsoft YaHei" w:hAnsi="Microsoft YaHei" w:eastAsia="Microsoft YaHei"/>
          <w:color w:val="1A2433"/>
        </w:rPr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未获批准的导出不会生成可下载数据。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导出事件记录申请人、审批人、范围、格式和结果。</w:t>
      </w:r>
    </w:p>
    <w:p>
      <w:pPr>
        <w:pStyle w:val="Heading1"/>
      </w:pPr>
      <w:r>
        <w:t>6. API 集成操作</w:t>
      </w:r>
    </w:p>
    <w:p>
      <w:pPr>
        <w:pStyle w:val="Heading2"/>
      </w:pPr>
      <w:r>
        <w:t>6.1 通用要求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使用 Bearer、Cookie 或服务身份中的一种受支持认证方式。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传入租户/应用作用域及唯一 X-Request-ID；重试必须保持幂等键。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Content-Type 与最大 Body 限制由每个路由显式定义；错误使用 Problem Details 语义。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记录响应中的 requestId、traceId、策略包、模型/Tokenizer 和证据引用。</w:t>
      </w:r>
    </w:p>
    <w:p>
      <w:pPr>
        <w:pStyle w:val="Heading2"/>
      </w:pPr>
      <w:r>
        <w:t>6.2 同步 Guard 示例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D8E1E8"/>
          <w:left w:val="single" w:sz="6" w:color="D8E1E8"/>
          <w:bottom w:val="single" w:sz="6" w:color="D8E1E8"/>
          <w:right w:val="single" w:sz="6" w:color="D8E1E8"/>
          <w:insideH w:val="single" w:sz="6" w:color="D8E1E8"/>
          <w:insideV w:val="single" w:sz="6" w:color="D8E1E8"/>
        </w:tblBorders>
      </w:tblPr>
      <w:tblGrid>
        <w:gridCol w:w="9866"/>
      </w:tblGrid>
      <w:tr>
        <w:tc>
          <w:tcPr>
            <w:tcW w:type="dxa" w:w="9866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ascadia Mono" w:hAnsi="Cascadia Mono" w:eastAsia="Cascadia Mono"/>
                <w:color w:val="243447"/>
                <w:sz w:val="16"/>
              </w:rPr>
              <w:t>curl -X POST https://guard.example/api/v1/guard/evaluate \</w:t>
              <w:br/>
              <w:t xml:space="preserve">  -H "Authorization: Bearer &lt;service-token&gt;" \</w:t>
              <w:br/>
              <w:t xml:space="preserve">  -H "Content-Type: application/json" \</w:t>
              <w:br/>
              <w:t xml:space="preserve">  -H "X-Request-ID: req-20260903-0001" \</w:t>
              <w:br/>
              <w:t xml:space="preserve">  -d '{"direction":"input","content":"&lt;approved-test-text&gt;","policyId":"&lt;policy-id&gt;"}'</w:t>
            </w:r>
          </w:p>
        </w:tc>
      </w:tr>
    </w:tbl>
    <w:p>
      <w:pPr>
        <w:pStyle w:val="Heading2"/>
      </w:pPr>
      <w:r>
        <w:t>6.3 Agent 工具调用</w:t>
      </w:r>
    </w:p>
    <w:p>
      <w:pPr>
        <w:pStyle w:val="ListNumber"/>
        <w:numPr>
          <w:ilvl w:val="0"/>
          <w:numId w:val="29"/>
        </w:numPr>
        <w:spacing w:after="40"/>
      </w:pPr>
      <w:r>
        <w:rPr>
          <w:rFonts w:ascii="Microsoft YaHei" w:hAnsi="Microsoft YaHei" w:eastAsia="Microsoft YaHei"/>
        </w:rPr>
        <w:t>POST /api/v1/guard/tools/authorize：提交意图、工具、参数摘要和可信上下文。</w:t>
      </w:r>
    </w:p>
    <w:p>
      <w:pPr>
        <w:pStyle w:val="ListNumber"/>
        <w:numPr>
          <w:ilvl w:val="0"/>
          <w:numId w:val="29"/>
        </w:numPr>
        <w:spacing w:after="40"/>
      </w:pPr>
      <w:r>
        <w:rPr>
          <w:rFonts w:ascii="Microsoft YaHei" w:hAnsi="Microsoft YaHei" w:eastAsia="Microsoft YaHei"/>
        </w:rPr>
        <w:t>若返回需要审批，POST /approvals 由有权主体处理。</w:t>
      </w:r>
    </w:p>
    <w:p>
      <w:pPr>
        <w:pStyle w:val="ListNumber"/>
        <w:numPr>
          <w:ilvl w:val="0"/>
          <w:numId w:val="29"/>
        </w:numPr>
        <w:spacing w:after="40"/>
      </w:pPr>
      <w:r>
        <w:rPr>
          <w:rFonts w:ascii="Microsoft YaHei" w:hAnsi="Microsoft YaHei" w:eastAsia="Microsoft YaHei"/>
        </w:rPr>
        <w:t>执行方只接受未过期、未使用且上下文/参数完全匹配的一次性 Permit。</w:t>
      </w:r>
    </w:p>
    <w:p>
      <w:pPr>
        <w:pStyle w:val="ListNumber"/>
        <w:numPr>
          <w:ilvl w:val="0"/>
          <w:numId w:val="29"/>
        </w:numPr>
        <w:spacing w:after="40"/>
      </w:pPr>
      <w:r>
        <w:rPr>
          <w:rFonts w:ascii="Microsoft YaHei" w:hAnsi="Microsoft YaHei" w:eastAsia="Microsoft YaHei"/>
        </w:rPr>
        <w:t>执行后 POST /result 进行结果复检；阻断结果不得回传模型或业务。</w:t>
      </w:r>
    </w:p>
    <w:p>
      <w:pPr>
        <w:pStyle w:val="Heading2"/>
      </w:pPr>
      <w:r>
        <w:t>6.4 安全扫描</w:t>
      </w:r>
    </w:p>
    <w:p>
      <w:pPr>
        <w:pStyle w:val="ListNumber"/>
        <w:numPr>
          <w:ilvl w:val="0"/>
          <w:numId w:val="30"/>
        </w:numPr>
        <w:spacing w:after="40"/>
      </w:pPr>
      <w:r>
        <w:rPr>
          <w:rFonts w:ascii="Microsoft YaHei" w:hAnsi="Microsoft YaHei" w:eastAsia="Microsoft YaHei"/>
        </w:rPr>
        <w:t>POST /api/security-scan-assets：登记外部资产身份；模型资产必须有 sha256。</w:t>
      </w:r>
    </w:p>
    <w:p>
      <w:pPr>
        <w:pStyle w:val="ListNumber"/>
        <w:numPr>
          <w:ilvl w:val="0"/>
          <w:numId w:val="30"/>
        </w:numPr>
        <w:spacing w:after="40"/>
      </w:pPr>
      <w:r>
        <w:rPr>
          <w:rFonts w:ascii="Microsoft YaHei" w:hAnsi="Microsoft YaHei" w:eastAsia="Microsoft YaHei"/>
        </w:rPr>
        <w:t>POST /api/security-scans：只提交返回的资产 UUID，不接受调用者任意 URL。</w:t>
      </w:r>
    </w:p>
    <w:p>
      <w:pPr>
        <w:pStyle w:val="ListNumber"/>
        <w:numPr>
          <w:ilvl w:val="0"/>
          <w:numId w:val="30"/>
        </w:numPr>
        <w:spacing w:after="40"/>
      </w:pPr>
      <w:r>
        <w:rPr>
          <w:rFonts w:ascii="Microsoft YaHei" w:hAnsi="Microsoft YaHei" w:eastAsia="Microsoft YaHei"/>
        </w:rPr>
        <w:t>启动 security-scan:worker；GET /api/security-scans/{id} 查询尝试和发现项。</w:t>
      </w:r>
    </w:p>
    <w:p>
      <w:pPr>
        <w:pStyle w:val="ListNumber"/>
        <w:numPr>
          <w:ilvl w:val="0"/>
          <w:numId w:val="30"/>
        </w:numPr>
        <w:spacing w:after="40"/>
      </w:pPr>
      <w:r>
        <w:rPr>
          <w:rFonts w:ascii="Microsoft YaHei" w:hAnsi="Microsoft YaHei" w:eastAsia="Microsoft YaHei"/>
        </w:rPr>
        <w:t>POST /api/security-scan-findings/{id}/reviews：提交独立复核；提交者不可自审。</w:t>
      </w:r>
    </w:p>
    <w:p>
      <w:pPr>
        <w:pStyle w:val="Heading1"/>
      </w:pPr>
      <w:r>
        <w:t>7. 日常运维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6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频率</w:t>
            </w:r>
          </w:p>
        </w:tc>
        <w:tc>
          <w:tcPr>
            <w:tcW w:type="dxa" w:w="345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408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判定与动作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每班/每日</w:t>
            </w:r>
          </w:p>
        </w:tc>
        <w:tc>
          <w:tcPr>
            <w:tcW w:type="dxa" w:w="345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健康、队列、错误率、时延、资源、外部依赖</w:t>
            </w:r>
          </w:p>
        </w:tc>
        <w:tc>
          <w:tcPr>
            <w:tcW w:type="dxa" w:w="408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超阈值先止损；保留时间窗、版本和 Trace 证据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每日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高危事件、SLA、导出审批、扫描失败、TONE outbox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分派责任人；终态失败不得删除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每周</w:t>
            </w:r>
          </w:p>
        </w:tc>
        <w:tc>
          <w:tcPr>
            <w:tcW w:type="dxa" w:w="345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策略命中、误报/漏报、白名单、badcase、容量趋势</w:t>
            </w:r>
          </w:p>
        </w:tc>
        <w:tc>
          <w:tcPr>
            <w:tcW w:type="dxa" w:w="408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形成小版本候选并运行回归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每月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题库更新、组件/模型/规则摘要、SBOM、漏洞和许可证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批准后重新签名与发布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每季度</w:t>
            </w:r>
          </w:p>
        </w:tc>
        <w:tc>
          <w:tcPr>
            <w:tcW w:type="dxa" w:w="345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权限复核、密钥轮换、备份恢复、应急演练</w:t>
            </w:r>
          </w:p>
        </w:tc>
        <w:tc>
          <w:tcPr>
            <w:tcW w:type="dxa" w:w="408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形成双人签名证据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每次发布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契约/类型/测试/构建、影子、灰度、回滚演练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未满足冻结门禁不得全量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D8E1E8"/>
          <w:left w:val="single" w:sz="6" w:color="D8E1E8"/>
          <w:bottom w:val="single" w:sz="6" w:color="D8E1E8"/>
          <w:right w:val="single" w:sz="6" w:color="D8E1E8"/>
          <w:insideH w:val="single" w:sz="6" w:color="D8E1E8"/>
          <w:insideV w:val="single" w:sz="6" w:color="D8E1E8"/>
        </w:tblBorders>
      </w:tblPr>
      <w:tblGrid>
        <w:gridCol w:w="9866"/>
      </w:tblGrid>
      <w:tr>
        <w:tc>
          <w:tcPr>
            <w:tcW w:type="dxa" w:w="9866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ascadia Mono" w:hAnsi="Cascadia Mono" w:eastAsia="Cascadia Mono"/>
                <w:color w:val="243447"/>
                <w:sz w:val="16"/>
              </w:rPr>
              <w:t>pnpm plan:check</w:t>
              <w:br/>
              <w:t>pnpm contracts:check</w:t>
              <w:br/>
              <w:t>pnpm ts-check</w:t>
              <w:br/>
              <w:t>pnpm quality:ratchet</w:t>
              <w:br/>
              <w:t>pnpm test -- --run</w:t>
              <w:br/>
              <w:t>pnpm build</w:t>
              <w:br/>
              <w:t>pnpm test:sdk-python</w:t>
            </w:r>
          </w:p>
        </w:tc>
      </w:tr>
    </w:tbl>
    <w:p>
      <w:r>
        <w:rPr>
          <w:rFonts w:ascii="Microsoft YaHei" w:hAnsi="Microsoft YaHei" w:eastAsia="Microsoft YaHei"/>
          <w:color w:val="1A2433"/>
        </w:rPr>
        <w:t>在具备工具与环境时补充：pnpm test:e2e、pnpm test:integration、pnpm test:sdk-go、Java Gateway Maven 测试、目标环境压测、故障注入和容灾演练。</w:t>
      </w:r>
    </w:p>
    <w:p>
      <w:pPr>
        <w:pStyle w:val="Heading1"/>
      </w:pPr>
      <w:r>
        <w:t>8. 测试策略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测试层</w:t>
            </w:r>
          </w:p>
        </w:tc>
        <w:tc>
          <w:tcPr>
            <w:tcW w:type="dxa" w:w="28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执行环境</w:t>
            </w:r>
          </w:p>
        </w:tc>
        <w:tc>
          <w:tcPr>
            <w:tcW w:type="dxa" w:w="209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静态质量</w:t>
            </w:r>
          </w:p>
        </w:tc>
        <w:tc>
          <w:tcPr>
            <w:tcW w:type="dxa" w:w="28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类型、Lint、契约、供应链配置</w:t>
            </w:r>
          </w:p>
        </w:tc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开发/CI</w:t>
            </w:r>
          </w:p>
        </w:tc>
        <w:tc>
          <w:tcPr>
            <w:tcW w:type="dxa" w:w="209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0 错误；兼容检查通过；高危问题闭环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单元/组件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算法、状态机、权限、配额、审计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开发/CI</w:t>
            </w:r>
          </w:p>
        </w:tc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所有受影响测试通过；新增逻辑有覆盖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API/数据库集成</w:t>
            </w:r>
          </w:p>
        </w:tc>
        <w:tc>
          <w:tcPr>
            <w:tcW w:type="dxa" w:w="28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鉴权、作用域、事务、幂等、迁移</w:t>
            </w:r>
          </w:p>
        </w:tc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隔离 PostgreSQL/Redis</w:t>
            </w:r>
          </w:p>
        </w:tc>
        <w:tc>
          <w:tcPr>
            <w:tcW w:type="dxa" w:w="209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无越权/串租户；失败可恢复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端到端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控制台与核心业务流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预生产</w:t>
            </w:r>
          </w:p>
        </w:tc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关键路径和异常路径均符合预期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安全测试</w:t>
            </w:r>
          </w:p>
        </w:tc>
        <w:tc>
          <w:tcPr>
            <w:tcW w:type="dxa" w:w="28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注入、DLP、SSRF、上传、Permit、供应链</w:t>
            </w:r>
          </w:p>
        </w:tc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预生产/安全实验室</w:t>
            </w:r>
          </w:p>
        </w:tc>
        <w:tc>
          <w:tcPr>
            <w:tcW w:type="dxa" w:w="209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严重/高危缺陷清零或正式接受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效果评测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Recall、Precision、FPR、FNR、攻击成功率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封存盲测环境</w:t>
            </w:r>
          </w:p>
        </w:tc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达到客户签署门禁；数据和报告有摘要/签名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性能容量</w:t>
            </w:r>
          </w:p>
        </w:tc>
        <w:tc>
          <w:tcPr>
            <w:tcW w:type="dxa" w:w="28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P50/P95/P99、QPS、并发、资源</w:t>
            </w:r>
          </w:p>
        </w:tc>
        <w:tc>
          <w:tcPr>
            <w:tcW w:type="dxa" w:w="22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目标硬件/模型/Tokenizer</w:t>
            </w:r>
          </w:p>
        </w:tc>
        <w:tc>
          <w:tcPr>
            <w:tcW w:type="dxa" w:w="209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达到冻结指标且无静默降级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可靠性/容灾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72 小时、故障注入、备份恢复、RPO/RTO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目标生产同构环境</w:t>
            </w:r>
          </w:p>
        </w:tc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无数据/证据丢失，恢复满足 BIA</w:t>
            </w:r>
          </w:p>
        </w:tc>
      </w:tr>
    </w:tbl>
    <w:p>
      <w:pPr>
        <w:spacing w:after="0"/>
      </w:pPr>
    </w:p>
    <w:p>
      <w:pPr>
        <w:pStyle w:val="Heading1"/>
      </w:pPr>
      <w:r>
        <w:t>9. 测试数据与证据控制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基础用例工作簿用于功能与流程验证，不替代客户封存盲测集。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效果验收建议至少 2000 ATTACK + 2000 BENIGN 的内容无关索引；原始样本由独立团队保存在仓库外。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记录数据集、模型、Tokenizer、策略包、镜像、扫描器、环境和报告摘要。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所有结果保留 attempt 1；重复/重试行不得覆盖初次失败。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目标环境报告至少两名审批人，并在应用外完成签名。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日志、截图、导出和抓包先脱敏；证据路径应只读并可校验。</w:t>
      </w:r>
    </w:p>
    <w:p>
      <w:pPr>
        <w:pStyle w:val="Heading1"/>
      </w:pPr>
      <w:r>
        <w:t>10. 分阶段执行顺序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6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96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重点</w:t>
            </w:r>
          </w:p>
        </w:tc>
        <w:tc>
          <w:tcPr>
            <w:tcW w:type="dxa" w:w="357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T0 基线</w:t>
            </w:r>
          </w:p>
        </w:tc>
        <w:tc>
          <w:tcPr>
            <w:tcW w:type="dxa" w:w="396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安装、迁移、健康、认证、权限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健康通过；三员分立和作用域隔离验证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T1 控制台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16 个菜单正/异常流程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P0/P1 功能用例通过，无阻断缺陷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T2 API</w:t>
            </w:r>
          </w:p>
        </w:tc>
        <w:tc>
          <w:tcPr>
            <w:tcW w:type="dxa" w:w="396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Guard、RAG、Tool、Artifact、Scan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契约、鉴权、幂等、失败策略通过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T3 安全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注入、DLP、SSRF、重放、越权、供应链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严重/高危关闭或批准接受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T4 效果</w:t>
            </w:r>
          </w:p>
        </w:tc>
        <w:tc>
          <w:tcPr>
            <w:tcW w:type="dxa" w:w="396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封存盲测和 badcase 复核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签名指标达到冻结门禁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T5 性能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目标模型/Tokenizer/硬件压测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P50/P95/P99、QPS、并发和资源达标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T6 韧性</w:t>
            </w:r>
          </w:p>
        </w:tc>
        <w:tc>
          <w:tcPr>
            <w:tcW w:type="dxa" w:w="396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72 小时、依赖故障、回滚、备份恢复</w:t>
            </w:r>
          </w:p>
        </w:tc>
        <w:tc>
          <w:tcPr>
            <w:tcW w:type="dxa" w:w="35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稳定性、RPO/RTO、证据完整性达标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T7 发布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影子、灰度、全量、监控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具名审批；回滚演练完成；发布证据归档</w:t>
            </w:r>
          </w:p>
        </w:tc>
      </w:tr>
    </w:tbl>
    <w:p>
      <w:pPr>
        <w:spacing w:after="0"/>
      </w:pPr>
    </w:p>
    <w:p>
      <w:pPr>
        <w:pStyle w:val="Heading1"/>
      </w:pPr>
      <w:r>
        <w:t>11. 关键测试清单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3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464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必测项目</w:t>
            </w:r>
          </w:p>
        </w:tc>
        <w:tc>
          <w:tcPr>
            <w:tcW w:type="dxa" w:w="272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</w:t>
            </w:r>
          </w:p>
        </w:tc>
      </w:tr>
      <w:tr>
        <w:trPr>
          <w:cantSplit/>
        </w:trPr>
        <w:tc>
          <w:tcPr>
            <w:tcW w:type="dxa" w:w="15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身份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弱口令、过期、锁定、CSRF、角色越权、跨租户/应用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请求/响应、审计、数据库作用域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Guard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16 维度、动作、失败策略、流式泄漏、编码/分段绕过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Trace、节点结果、最终决策</w:t>
            </w:r>
          </w:p>
        </w:tc>
      </w:tr>
      <w:tr>
        <w:trPr>
          <w:cantSplit/>
        </w:trPr>
        <w:tc>
          <w:tcPr>
            <w:tcW w:type="dxa" w:w="15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策略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非法状态迁移、自审批、门禁不足、影子、灰度、回滚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Bundle、评测、审批和绑定记录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RAG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来源伪造、ACL 越权、间接注入、无依据回答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检索来源、ACL、Groundedness</w:t>
            </w:r>
          </w:p>
        </w:tc>
      </w:tr>
      <w:tr>
        <w:trPr>
          <w:cantSplit/>
        </w:trPr>
        <w:tc>
          <w:tcPr>
            <w:tcW w:type="dxa" w:w="15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Agent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未登记工具、参数替换、Permit 重放/过期、结果注入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意图、审批、Permit、结果复检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文件/多模态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魔数、扩展名欺骗、超限、压缩炸弹、OCR/ASR/时序攻击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工件摘要、尝试、发现项</w:t>
            </w:r>
          </w:p>
        </w:tc>
      </w:tr>
      <w:tr>
        <w:trPr>
          <w:cantSplit/>
        </w:trPr>
        <w:tc>
          <w:tcPr>
            <w:tcW w:type="dxa" w:w="15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资源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各作用域限额、幂等计费、公平调度、故障回补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配额台账和指标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审计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链篡改、TSA、导出审批、TONE 断链补发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校验报告、outbox、接收回执</w:t>
            </w:r>
          </w:p>
        </w:tc>
      </w:tr>
      <w:tr>
        <w:trPr>
          <w:cantSplit/>
        </w:trPr>
        <w:tc>
          <w:tcPr>
            <w:tcW w:type="dxa" w:w="15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供应链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digest、签名、SBOM、许可证、恶意 Skill/MCP</w:t>
            </w:r>
          </w:p>
        </w:tc>
        <w:tc>
          <w:tcPr>
            <w:tcW w:type="dxa" w:w="272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AI-BOM、扫描、双人审批</w:t>
            </w:r>
          </w:p>
        </w:tc>
      </w:tr>
    </w:tbl>
    <w:p>
      <w:pPr>
        <w:spacing w:after="0"/>
      </w:pPr>
    </w:p>
    <w:p>
      <w:pPr>
        <w:pStyle w:val="Heading1"/>
      </w:pPr>
      <w:r>
        <w:t>12. 缺陷与发布判定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464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8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发布要求</w:t>
            </w:r>
          </w:p>
        </w:tc>
      </w:tr>
      <w:tr>
        <w:trPr>
          <w:cantSplit/>
        </w:trPr>
        <w:tc>
          <w:tcPr>
            <w:tcW w:type="dxa" w:w="14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P0 阻断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越权、跨租户泄露、审计失真、策略绕过、数据不可恢复</w:t>
            </w:r>
          </w:p>
        </w:tc>
        <w:tc>
          <w:tcPr>
            <w:tcW w:type="dxa" w:w="28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禁止发布，立即止损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P1 严重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核心链路失败、高危绕过、无法回滚、证据缺失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发布前关闭或由风险责任人书面接受</w:t>
            </w:r>
          </w:p>
        </w:tc>
      </w:tr>
      <w:tr>
        <w:trPr>
          <w:cantSplit/>
        </w:trPr>
        <w:tc>
          <w:tcPr>
            <w:tcW w:type="dxa" w:w="1417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P2 一般</w:t>
            </w:r>
          </w:p>
        </w:tc>
        <w:tc>
          <w:tcPr>
            <w:tcW w:type="dxa" w:w="4649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非核心功能异常、可绕行且不降低安全边界</w:t>
            </w:r>
          </w:p>
        </w:tc>
        <w:tc>
          <w:tcPr>
            <w:tcW w:type="dxa" w:w="28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评估窗口并跟踪修复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P3 轻微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文案、视觉或低影响可用性问题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6"/>
              </w:rPr>
              <w:t>可进入后续版本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发布判定必须同时检查代码质量、功能、安全、效果、性能、依赖、回滚和证据完整性。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任何“未执行”“受阻”“环境不具备”不得记为通过。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出现未批准的五类声明时，文档和投标材料必须退回修订。</w:t>
      </w:r>
    </w:p>
    <w:p>
      <w:pPr>
        <w:pStyle w:val="Heading1"/>
      </w:pPr>
      <w:r>
        <w:t>附录 A：控制台菜单速查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13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分组</w:t>
            </w:r>
          </w:p>
        </w:tc>
        <w:tc>
          <w:tcPr>
            <w:tcW w:type="dxa" w:w="130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菜单</w:t>
            </w:r>
          </w:p>
        </w:tc>
        <w:tc>
          <w:tcPr>
            <w:tcW w:type="dxa" w:w="153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权限</w:t>
            </w:r>
          </w:p>
        </w:tc>
        <w:tc>
          <w:tcPr>
            <w:tcW w:type="dxa" w:w="323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任务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核心功能</w:t>
            </w:r>
          </w:p>
        </w:tc>
        <w:tc>
          <w:tcPr>
            <w:tcW w:type="dxa" w:w="130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安全对话</w:t>
            </w:r>
          </w:p>
        </w:tc>
        <w:tc>
          <w:tcPr>
            <w:tcW w:type="dxa" w:w="15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guard:use</w:t>
            </w:r>
          </w:p>
        </w:tc>
        <w:tc>
          <w:tcPr>
            <w:tcW w:type="dxa" w:w="32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输入/输出双向检测与安全对话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核心功能</w:t>
            </w:r>
          </w:p>
        </w:tc>
        <w:tc>
          <w:tcPr>
            <w:tcW w:type="dxa" w:w="1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链路演示</w:t>
            </w:r>
          </w:p>
        </w:tc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/simulate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guard:use</w:t>
            </w:r>
          </w:p>
        </w:tc>
        <w:tc>
          <w:tcPr>
            <w:tcW w:type="dxa" w:w="32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展示检测、处置和证据链路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核心功能</w:t>
            </w:r>
          </w:p>
        </w:tc>
        <w:tc>
          <w:tcPr>
            <w:tcW w:type="dxa" w:w="130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文档检测</w:t>
            </w:r>
          </w:p>
        </w:tc>
        <w:tc>
          <w:tcPr>
            <w:tcW w:type="dxa" w:w="15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/document-scan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security:operate</w:t>
            </w:r>
          </w:p>
        </w:tc>
        <w:tc>
          <w:tcPr>
            <w:tcW w:type="dxa" w:w="32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文档上传、异步扫描、发现项处置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配置管理</w:t>
            </w:r>
          </w:p>
        </w:tc>
        <w:tc>
          <w:tcPr>
            <w:tcW w:type="dxa" w:w="1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检测维度</w:t>
            </w:r>
          </w:p>
        </w:tc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/dimensions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policy:manage</w:t>
            </w:r>
          </w:p>
        </w:tc>
        <w:tc>
          <w:tcPr>
            <w:tcW w:type="dxa" w:w="32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维度、规则、测试与启停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配置管理</w:t>
            </w:r>
          </w:p>
        </w:tc>
        <w:tc>
          <w:tcPr>
            <w:tcW w:type="dxa" w:w="130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白名单规则</w:t>
            </w:r>
          </w:p>
        </w:tc>
        <w:tc>
          <w:tcPr>
            <w:tcW w:type="dxa" w:w="15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/whitelist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policy:manage</w:t>
            </w:r>
          </w:p>
        </w:tc>
        <w:tc>
          <w:tcPr>
            <w:tcW w:type="dxa" w:w="32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按策略和维度配置受控放行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配置管理</w:t>
            </w:r>
          </w:p>
        </w:tc>
        <w:tc>
          <w:tcPr>
            <w:tcW w:type="dxa" w:w="1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策略配置</w:t>
            </w:r>
          </w:p>
        </w:tc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/policies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policy:manage</w:t>
            </w:r>
          </w:p>
        </w:tc>
        <w:tc>
          <w:tcPr>
            <w:tcW w:type="dxa" w:w="32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创建、克隆、阈值、动作、关键词、Judge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配置管理</w:t>
            </w:r>
          </w:p>
        </w:tc>
        <w:tc>
          <w:tcPr>
            <w:tcW w:type="dxa" w:w="130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策略发布</w:t>
            </w:r>
          </w:p>
        </w:tc>
        <w:tc>
          <w:tcPr>
            <w:tcW w:type="dxa" w:w="15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/policy-releases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policy:manage</w:t>
            </w:r>
          </w:p>
        </w:tc>
        <w:tc>
          <w:tcPr>
            <w:tcW w:type="dxa" w:w="32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编译、测试、审批、影子、灰度、发布、回滚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配置管理</w:t>
            </w:r>
          </w:p>
        </w:tc>
        <w:tc>
          <w:tcPr>
            <w:tcW w:type="dxa" w:w="1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模型管理</w:t>
            </w:r>
          </w:p>
        </w:tc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/providers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provider:manage</w:t>
            </w:r>
          </w:p>
        </w:tc>
        <w:tc>
          <w:tcPr>
            <w:tcW w:type="dxa" w:w="32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模型供应商、端点、模型和连通性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测试评估</w:t>
            </w:r>
          </w:p>
        </w:tc>
        <w:tc>
          <w:tcPr>
            <w:tcW w:type="dxa" w:w="130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测试用例</w:t>
            </w:r>
          </w:p>
        </w:tc>
        <w:tc>
          <w:tcPr>
            <w:tcW w:type="dxa" w:w="15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/test-cases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policy:manage</w:t>
            </w:r>
          </w:p>
        </w:tc>
        <w:tc>
          <w:tcPr>
            <w:tcW w:type="dxa" w:w="32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用例创建、编辑、执行与结果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测试评估</w:t>
            </w:r>
          </w:p>
        </w:tc>
        <w:tc>
          <w:tcPr>
            <w:tcW w:type="dxa" w:w="1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多模型评测</w:t>
            </w:r>
          </w:p>
        </w:tc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/model-eval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policy:read</w:t>
            </w:r>
          </w:p>
        </w:tc>
        <w:tc>
          <w:tcPr>
            <w:tcW w:type="dxa" w:w="32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同一题集下的模型/策略对比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测试评估</w:t>
            </w:r>
          </w:p>
        </w:tc>
        <w:tc>
          <w:tcPr>
            <w:tcW w:type="dxa" w:w="130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评测门禁</w:t>
            </w:r>
          </w:p>
        </w:tc>
        <w:tc>
          <w:tcPr>
            <w:tcW w:type="dxa" w:w="15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/evaluation-runs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policy:read</w:t>
            </w:r>
          </w:p>
        </w:tc>
        <w:tc>
          <w:tcPr>
            <w:tcW w:type="dxa" w:w="32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异步回归、指标与发布证据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数据统计</w:t>
            </w:r>
          </w:p>
        </w:tc>
        <w:tc>
          <w:tcPr>
            <w:tcW w:type="dxa" w:w="1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检测看板</w:t>
            </w:r>
          </w:p>
        </w:tc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/dashboard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history:read</w:t>
            </w:r>
          </w:p>
        </w:tc>
        <w:tc>
          <w:tcPr>
            <w:tcW w:type="dxa" w:w="32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请求量、拦截率、风险、时延和趋势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数据统计</w:t>
            </w:r>
          </w:p>
        </w:tc>
        <w:tc>
          <w:tcPr>
            <w:tcW w:type="dxa" w:w="130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安全事件</w:t>
            </w:r>
          </w:p>
        </w:tc>
        <w:tc>
          <w:tcPr>
            <w:tcW w:type="dxa" w:w="15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/incidents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security:operate</w:t>
            </w:r>
          </w:p>
        </w:tc>
        <w:tc>
          <w:tcPr>
            <w:tcW w:type="dxa" w:w="32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研判、分派、SLA、处置闭环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数据统计</w:t>
            </w:r>
          </w:p>
        </w:tc>
        <w:tc>
          <w:tcPr>
            <w:tcW w:type="dxa" w:w="1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历史记录</w:t>
            </w:r>
          </w:p>
        </w:tc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/history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history:read</w:t>
            </w:r>
          </w:p>
        </w:tc>
        <w:tc>
          <w:tcPr>
            <w:tcW w:type="dxa" w:w="32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多条件检索、详情与授权删除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数据统计</w:t>
            </w:r>
          </w:p>
        </w:tc>
        <w:tc>
          <w:tcPr>
            <w:tcW w:type="dxa" w:w="130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Agent 日志</w:t>
            </w:r>
          </w:p>
        </w:tc>
        <w:tc>
          <w:tcPr>
            <w:tcW w:type="dxa" w:w="15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/agent-logs</w:t>
            </w:r>
          </w:p>
        </w:tc>
        <w:tc>
          <w:tcPr>
            <w:tcW w:type="dxa" w:w="170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audit:read</w:t>
            </w:r>
          </w:p>
        </w:tc>
        <w:tc>
          <w:tcPr>
            <w:tcW w:type="dxa" w:w="323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工具调用和 Agent 链路追踪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数据统计</w:t>
            </w:r>
          </w:p>
        </w:tc>
        <w:tc>
          <w:tcPr>
            <w:tcW w:type="dxa" w:w="1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导出报告</w:t>
            </w:r>
          </w:p>
        </w:tc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/export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audit:export</w:t>
            </w:r>
          </w:p>
        </w:tc>
        <w:tc>
          <w:tcPr>
            <w:tcW w:type="dxa" w:w="32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4"/>
              </w:rPr>
              <w:t>统计、JSON/CSV/Markdown 与审批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B：核心 API 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7E2"/>
          <w:left w:val="single" w:sz="6" w:color="CAD7E2"/>
          <w:bottom w:val="single" w:sz="6" w:color="CAD7E2"/>
          <w:right w:val="single" w:sz="6" w:color="CAD7E2"/>
          <w:insideH w:val="single" w:sz="6" w:color="CAD7E2"/>
          <w:insideV w:val="single" w:sz="6" w:color="CAD7E2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00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API</w:t>
            </w:r>
          </w:p>
        </w:tc>
        <w:tc>
          <w:tcPr>
            <w:tcW w:type="dxa" w:w="113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243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32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重点测试</w:t>
            </w:r>
          </w:p>
        </w:tc>
      </w:tr>
      <w:tr>
        <w:trPr>
          <w:cantSplit/>
        </w:trPr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/api/v1/guard/evaluate</w:t>
            </w:r>
          </w:p>
        </w:tc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POST</w:t>
            </w:r>
          </w:p>
        </w:tc>
        <w:tc>
          <w:tcPr>
            <w:tcW w:type="dxa" w:w="243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同步安全判定</w:t>
            </w:r>
          </w:p>
        </w:tc>
        <w:tc>
          <w:tcPr>
            <w:tcW w:type="dxa" w:w="23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鉴权、作用域、动作、资源、幂等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/api/v1/guard/evaluate-shadow</w:t>
            </w:r>
          </w:p>
        </w:tc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POST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影子判定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不影响线上动作、差异证据</w:t>
            </w:r>
          </w:p>
        </w:tc>
      </w:tr>
      <w:tr>
        <w:trPr>
          <w:cantSplit/>
        </w:trPr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/api/v1/guard/jobs</w:t>
            </w:r>
          </w:p>
        </w:tc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POST/GET</w:t>
            </w:r>
          </w:p>
        </w:tc>
        <w:tc>
          <w:tcPr>
            <w:tcW w:type="dxa" w:w="243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异步任务</w:t>
            </w:r>
          </w:p>
        </w:tc>
        <w:tc>
          <w:tcPr>
            <w:tcW w:type="dxa" w:w="23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重复提交、回调、超时、重试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/api/v1/guard/artifacts/*</w:t>
            </w:r>
          </w:p>
        </w:tc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POST/PUT/GET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安全上传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魔数、大小、摘要、分片</w:t>
            </w:r>
          </w:p>
        </w:tc>
      </w:tr>
      <w:tr>
        <w:trPr>
          <w:cantSplit/>
        </w:trPr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/api/v1/guard/rag/evaluate</w:t>
            </w:r>
          </w:p>
        </w:tc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POST</w:t>
            </w:r>
          </w:p>
        </w:tc>
        <w:tc>
          <w:tcPr>
            <w:tcW w:type="dxa" w:w="243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RAG 安全</w:t>
            </w:r>
          </w:p>
        </w:tc>
        <w:tc>
          <w:tcPr>
            <w:tcW w:type="dxa" w:w="23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ACL、来源、注入、Groundedness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/api/v1/guard/tools/*</w:t>
            </w:r>
          </w:p>
        </w:tc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POST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Agent 工具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审批、Permit、重放、结果复检</w:t>
            </w:r>
          </w:p>
        </w:tc>
      </w:tr>
      <w:tr>
        <w:trPr>
          <w:cantSplit/>
        </w:trPr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/api/security-scans*</w:t>
            </w:r>
          </w:p>
        </w:tc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POST/GET</w:t>
            </w:r>
          </w:p>
        </w:tc>
        <w:tc>
          <w:tcPr>
            <w:tcW w:type="dxa" w:w="243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安全扫描</w:t>
            </w:r>
          </w:p>
        </w:tc>
        <w:tc>
          <w:tcPr>
            <w:tcW w:type="dxa" w:w="23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资产 UUID、扫描器身份、复核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/api/policy-bundles</w:t>
            </w:r>
          </w:p>
        </w:tc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GET/POST/PATCH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策略发布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状态机、门禁、自审批、回滚</w:t>
            </w:r>
          </w:p>
        </w:tc>
      </w:tr>
      <w:tr>
        <w:trPr>
          <w:cantSplit/>
        </w:trPr>
        <w:tc>
          <w:tcPr>
            <w:tcW w:type="dxa" w:w="300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/api/incidents*</w:t>
            </w:r>
          </w:p>
        </w:tc>
        <w:tc>
          <w:tcPr>
            <w:tcW w:type="dxa" w:w="113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GET/POST/PATCH</w:t>
            </w:r>
          </w:p>
        </w:tc>
        <w:tc>
          <w:tcPr>
            <w:tcW w:type="dxa" w:w="243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事件运营</w:t>
            </w:r>
          </w:p>
        </w:tc>
        <w:tc>
          <w:tcPr>
            <w:tcW w:type="dxa" w:w="23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状态机、责任人、处置说明、SLA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/api/audit/*</w:t>
            </w:r>
          </w:p>
        </w:tc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GET/POST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审计与报告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A2433"/>
                <w:sz w:val="15"/>
              </w:rPr>
              <w:t>权限、完整性、导出审批</w:t>
            </w:r>
          </w:p>
        </w:tc>
      </w:tr>
    </w:tbl>
    <w:p>
      <w:pPr>
        <w:spacing w:after="0"/>
      </w:pPr>
    </w:p>
    <w:p>
      <w:pPr>
        <w:pStyle w:val="Heading1"/>
      </w:pPr>
      <w:r>
        <w:t>附录 C：配套文件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02_GuardLLM_全面操作与测试手册_V1.0_2026-09-03.docx（本手册）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02A_GuardLLM_配套测试用例_V1.0_2026-09-03.xlsx（可执行用例、数据、记录和追踪矩阵）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仓库 acceptance/README.md、acceptance/integrated-plan/*、docs/runbooks/*、deploy/README.md。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版本 V1.0  |  2026-09-03  |  内部评审/客户交流稿</w:t>
    </w:r>
    <w:r>
      <w:rPr>
        <w:rFonts w:ascii="Microsoft YaHei" w:hAnsi="Microsoft YaHei" w:eastAsia="Microsoft YaHei"/>
        <w:color w:val="5B6775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5B677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color="CAD7E2"/>
      </w:pBdr>
    </w:pPr>
    <w:r>
      <w:rPr>
        <w:rFonts w:ascii="Microsoft YaHei" w:hAnsi="Microsoft YaHei" w:eastAsia="Microsoft YaHei"/>
        <w:b/>
        <w:color w:val="1D63A9"/>
        <w:sz w:val="16"/>
      </w:rPr>
      <w:t>GUARDLLM  /  GL-OPS-TEST-001</w:t>
    </w:r>
    <w:r>
      <w:t xml:space="preserve">   </w:t>
    </w:r>
    <w:r>
      <w:rPr>
        <w:rFonts w:ascii="Microsoft YaHei" w:hAnsi="Microsoft YaHei" w:eastAsia="Microsoft YaHei"/>
        <w:color w:val="5B6775"/>
        <w:sz w:val="16"/>
      </w:rPr>
      <w:t>受控产品资料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color w:val="1A24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63A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63A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98" w:right="198"/>
    </w:pPr>
    <w:rPr>
      <w:rFonts w:ascii="Cascadia Mono" w:hAnsi="Cascadia Mono" w:eastAsia="Microsoft YaHei"/>
      <w:color w:val="24344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