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left"/>
      </w:pPr>
      <w:r>
        <w:rPr>
          <w:rFonts w:ascii="Microsoft YaHei" w:hAnsi="Microsoft YaHei" w:eastAsia="Microsoft YaHei"/>
          <w:b/>
          <w:color w:val="1D63A9"/>
          <w:sz w:val="30"/>
        </w:rPr>
        <w:t>GUARDLLM</w:t>
      </w:r>
    </w:p>
    <w:p>
      <w:pPr>
        <w:spacing w:before="360"/>
      </w:pPr>
      <w:r>
        <w:rPr>
          <w:rFonts w:ascii="Microsoft YaHei" w:hAnsi="Microsoft YaHei" w:eastAsia="Microsoft YaHei"/>
          <w:b/>
          <w:color w:val="17324D"/>
          <w:sz w:val="56"/>
        </w:rPr>
        <w:t>产品白皮书</w:t>
      </w:r>
    </w:p>
    <w:p>
      <w:r>
        <w:rPr>
          <w:rFonts w:ascii="Microsoft YaHei" w:hAnsi="Microsoft YaHei" w:eastAsia="Microsoft YaHei"/>
          <w:color w:val="1D63A9"/>
          <w:sz w:val="30"/>
        </w:rPr>
        <w:t>面向关键基础设施行业的大模型与智能体安全控制面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137"/>
        <w:gridCol w:w="3137"/>
        <w:gridCol w:w="3137"/>
      </w:tblGrid>
      <w:tr>
        <w:tc>
          <w:tcPr>
            <w:tcW w:type="dxa" w:w="3402"/>
            <w:shd w:fill="EDF5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B6775"/>
                <w:sz w:val="16"/>
              </w:rPr>
              <w:t>文档编号</w:t>
              <w:br/>
            </w:r>
            <w:r>
              <w:rPr>
                <w:rFonts w:ascii="Microsoft YaHei" w:hAnsi="Microsoft YaHei" w:eastAsia="Microsoft YaHei"/>
                <w:b/>
                <w:color w:val="1A2433"/>
                <w:sz w:val="20"/>
              </w:rPr>
              <w:t>GL-WP-001</w:t>
            </w:r>
          </w:p>
        </w:tc>
        <w:tc>
          <w:tcPr>
            <w:tcW w:type="dxa" w:w="3402"/>
            <w:shd w:fill="EDF5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B6775"/>
                <w:sz w:val="16"/>
              </w:rPr>
              <w:t>基线</w:t>
              <w:br/>
            </w:r>
            <w:r>
              <w:rPr>
                <w:rFonts w:ascii="Microsoft YaHei" w:hAnsi="Microsoft YaHei" w:eastAsia="Microsoft YaHei"/>
                <w:b/>
                <w:color w:val="1A2433"/>
                <w:sz w:val="20"/>
              </w:rPr>
              <w:t>96cb4d5</w:t>
            </w:r>
          </w:p>
        </w:tc>
        <w:tc>
          <w:tcPr>
            <w:tcW w:type="dxa" w:w="2268"/>
            <w:shd w:fill="DCECF5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B6775"/>
                <w:sz w:val="16"/>
              </w:rPr>
              <w:t>日期</w:t>
              <w:br/>
            </w:r>
            <w:r>
              <w:rPr>
                <w:rFonts w:ascii="Microsoft YaHei" w:hAnsi="Microsoft YaHei" w:eastAsia="Microsoft YaHei"/>
                <w:b/>
                <w:color w:val="1A2433"/>
                <w:sz w:val="20"/>
              </w:rPr>
              <w:t>2026-09-03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c>
          <w:tcPr>
            <w:tcW w:type="dxa" w:w="1814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7257"/>
            <w:shd w:fill="F7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GuardLLM 大模型与智能体安全护栏平台</w:t>
            </w:r>
          </w:p>
        </w:tc>
      </w:tr>
      <w:tr>
        <w:tc>
          <w:tcPr>
            <w:tcW w:type="dxa" w:w="1814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适用对象</w:t>
            </w:r>
          </w:p>
        </w:tc>
        <w:tc>
          <w:tcPr>
            <w:tcW w:type="dxa" w:w="7257"/>
            <w:shd w:fill="F7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关键信息基础设施行业决策者、CISO、AI 平台负责人、安全架构师与采购评审团队</w:t>
            </w:r>
          </w:p>
        </w:tc>
      </w:tr>
      <w:tr>
        <w:tc>
          <w:tcPr>
            <w:tcW w:type="dxa" w:w="1814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事实口径</w:t>
            </w:r>
          </w:p>
        </w:tc>
        <w:tc>
          <w:tcPr>
            <w:tcW w:type="dxa" w:w="7257"/>
            <w:shd w:fill="F7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main@96cb4d5（功能基线），文档依据仓库现状编制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4E6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56A16"/>
                <w:sz w:val="18"/>
              </w:rPr>
              <w:t>重要口径：本文档只陈述仓库代码和可复核资料能够支持的事实；目标环境性能、盲测效果、国产化适配、外部系统联调及 Version B 网络一体机能力，不因代码存在而视为验收通过。</w:t>
            </w:r>
          </w:p>
        </w:tc>
      </w:tr>
    </w:tbl>
    <w:p>
      <w:r>
        <w:br w:type="page"/>
      </w:r>
    </w:p>
    <w:p>
      <w:pPr>
        <w:pStyle w:val="Heading1"/>
      </w:pPr>
      <w: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文档版本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编制日期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2026-09-03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代码基线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main@96cb4d5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编制依据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仓库代码、自动化测试、部署清单、运行手册、验收治理文件及官方公开资料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文档目的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阐明产品背景、技术路线、架构、核心能力、场景、部署、竞争定位、证据边界和演进路线。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适用范围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GuardLLM Version A 软件网关；国际厂商对比以 2026-09-03 官方公开资料为依据。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保密与发布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当前为内部评审/客户交流稿；未经目标环境验收的性能、效果、兼容和硬件结论不得对外承诺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r>
          <w:t>打开文档后按 Ctrl+A、F9 更新目录</w:t>
        </w:r>
        <w:fldChar w:fldCharType="end"/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rFonts w:ascii="Microsoft YaHei" w:hAnsi="Microsoft YaHei" w:eastAsia="Microsoft YaHei"/>
          <w:color w:val="1A2433"/>
        </w:rPr>
        <w:t>生成式 AI 正从单轮问答扩展到企业知识检索、业务流程编排和自主工具调用。风险也从“输出一段不当文本”扩展为上下文投毒、敏感数据跨域、Agent 越权执行、模型与工具供应链污染，以及无法还原的复杂责任链。传统内容审核、WAF、DLP、API 网关和模型评测各自只覆盖局部，难以形成跨模型、跨 RAG、跨 Agent 的统一决策与证据。</w:t>
      </w:r>
    </w:p>
    <w:p>
      <w:r>
        <w:rPr>
          <w:rFonts w:ascii="Microsoft YaHei" w:hAnsi="Microsoft YaHei" w:eastAsia="Microsoft YaHei"/>
          <w:color w:val="1A2433"/>
        </w:rPr>
        <w:t>GuardLLM 大模型与智能体安全护栏平台 的目标，是在应用与模型、知识、工具之间建立独立、可编排、可私有化的 AI 安全控制面。平台用签名策略包统一规则、语义、Judge、资源与失败策略，用可信上下文和证据链连接输入、检索、工具、输出和运营，并以评测门禁、双人审批、影子/灰度和回滚把安全能力带入发布工程。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6A16"/>
          <w:left w:val="single" w:sz="6" w:color="B56A16"/>
          <w:bottom w:val="single" w:sz="6" w:color="B56A16"/>
          <w:right w:val="single" w:sz="6" w:color="B56A16"/>
          <w:insideH w:val="single" w:sz="6" w:color="B56A16"/>
          <w:insideV w:val="single" w:sz="6" w:color="B56A16"/>
        </w:tblBorders>
      </w:tblPr>
      <w:tblGrid>
        <w:gridCol w:w="9412"/>
      </w:tblGrid>
      <w:tr>
        <w:tc>
          <w:tcPr>
            <w:tcW w:type="dxa" w:w="9412"/>
            <w:shd w:fill="FFF4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56A16"/>
                <w:sz w:val="19"/>
              </w:rPr>
              <w:t>当前结论</w:t>
              <w:br/>
            </w:r>
            <w:r>
              <w:rPr>
                <w:rFonts w:ascii="Microsoft YaHei" w:hAnsi="Microsoft YaHei" w:eastAsia="Microsoft YaHei"/>
                <w:color w:val="1A2433"/>
                <w:sz w:val="18"/>
              </w:rPr>
              <w:t>软件网关核心安全控制面已经形成代码基线；客户盲测、目标模型/Tokenizer、目标硬件性能、外部扫描器和 SOC/TONE 联调仍须签名验收；Version B 网络数据面不在当前交付承诺内。</w:t>
            </w:r>
          </w:p>
        </w:tc>
      </w:tr>
    </w:tbl>
    <w:p>
      <w:pPr>
        <w:pStyle w:val="Heading1"/>
      </w:pPr>
      <w:r>
        <w:t>1. 需求背景</w:t>
      </w:r>
    </w:p>
    <w:p>
      <w:pPr>
        <w:pStyle w:val="Heading2"/>
      </w:pPr>
      <w:r>
        <w:t>1.1 从模型安全走向系统安全</w:t>
      </w:r>
    </w:p>
    <w:p>
      <w:r>
        <w:rPr>
          <w:rFonts w:ascii="Microsoft YaHei" w:hAnsi="Microsoft YaHei" w:eastAsia="Microsoft YaHei"/>
          <w:color w:val="1A2433"/>
        </w:rPr>
        <w:t>大模型应用的真实攻击面包含模型、提示词、上下文、向量库、工具、插件、文件、多模态输入、身份权限和供应链。单一关键词或内容分类器无法识别来源可信度、权限边界、工具副作用和跨步骤组合攻击。安全架构必须同时处理“内容是否安全”“上下文是否可信”“动作是否获权”“资源是否可承受”“证据是否可证明”五类问题。</w:t>
      </w:r>
    </w:p>
    <w:p>
      <w:pPr>
        <w:pStyle w:val="Heading2"/>
      </w:pPr>
      <w:r>
        <w:t>1.2 监管与治理正在要求全生命周期证据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NIST AI RMF Generative AI Profile 将生成式 AI 风险纳入组织治理、映射、度量和管理全生命周期。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NIST 针对关键基础设施可信 AI 的工作进一步强调 IT/OT/ICS 场景、韧性和跨生命周期控制。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MITRE ATLAS 持续扩展生成式与 Agentic AI 对抗知识，说明攻击已从模型输入扩展到工具、数据和流程。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OWASP GenAI 2026 与 Agentic 应用风险清单把提示注入、过度代理和工具链控制置于重要位置。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中国生成式人工智能服务治理与生成合成内容标识要求，推动内容安全、数据治理、标识与日志留存联动。</w:t>
      </w:r>
    </w:p>
    <w:p>
      <w:pPr>
        <w:pStyle w:val="Heading2"/>
      </w:pPr>
      <w:r>
        <w:t>1.3 关键基础设施行业核心痛点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痛点</w:t>
            </w:r>
          </w:p>
        </w:tc>
        <w:tc>
          <w:tcPr>
            <w:tcW w:type="dxa" w:w="357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传统做法的缺口</w:t>
            </w:r>
          </w:p>
        </w:tc>
        <w:tc>
          <w:tcPr>
            <w:tcW w:type="dxa" w:w="340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需要的能力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数据不出域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云端内容安全可能引入原文外传、区域与留存问题</w:t>
            </w:r>
          </w:p>
        </w:tc>
        <w:tc>
          <w:tcPr>
            <w:tcW w:type="dxa" w:w="34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本地/私有部署、脱敏前置、明确出站边界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多模型多应用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每个团队各自实现规则，口径和证据不一致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模型中立的统一契约、策略和作用域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RAG 上下文投毒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只检查用户问题，不校验检索来源和 ACL</w:t>
            </w:r>
          </w:p>
        </w:tc>
        <w:tc>
          <w:tcPr>
            <w:tcW w:type="dxa" w:w="34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入库、检索、组装、输出全链路信任门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Agent 有副作用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回答审核无法阻止付款、发令、改配置等实际动作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意图、授权、审批、Permit 与结果复检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长上下文与资源滥用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字符限长不能代表 Token，容易截断或造成成本攻击</w:t>
            </w:r>
          </w:p>
        </w:tc>
        <w:tc>
          <w:tcPr>
            <w:tcW w:type="dxa" w:w="34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精确 Tokenizer、多作用域配额和公平调度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无法审计证明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日志零散，版本、数据、模型和审批无法绑定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不可变证据、Trace、签名策略与独立审批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信创与离线环境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托管能力受网络、平台与认证范围限制</w:t>
            </w:r>
          </w:p>
        </w:tc>
        <w:tc>
          <w:tcPr>
            <w:tcW w:type="dxa" w:w="34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容器化、离线包、PAL/HAL 和逐组合 POC</w:t>
            </w:r>
          </w:p>
        </w:tc>
      </w:tr>
    </w:tbl>
    <w:p>
      <w:pPr>
        <w:spacing w:after="0"/>
      </w:pPr>
    </w:p>
    <w:p>
      <w:pPr>
        <w:pStyle w:val="Heading1"/>
      </w:pPr>
      <w:r>
        <w:t>2. 技术发展趋势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趋势</w:t>
            </w:r>
          </w:p>
        </w:tc>
        <w:tc>
          <w:tcPr>
            <w:tcW w:type="dxa" w:w="345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6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产品响应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Agentic AI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模型从生成内容转向规划并执行工具</w:t>
            </w:r>
          </w:p>
        </w:tc>
        <w:tc>
          <w:tcPr>
            <w:tcW w:type="dxa" w:w="36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Action Firewall、一次性 Permit、人工审批、结果复检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RAG 成为主流企业架构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知识来源和权限决定回答可信度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Provenance、ACL、可信组装、Groundedness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多模态与文件成为攻击载体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恶意指令可隐藏在图像、文档、音视频</w:t>
            </w:r>
          </w:p>
        </w:tc>
        <w:tc>
          <w:tcPr>
            <w:tcW w:type="dxa" w:w="36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安全工件入口、多视图、抽帧、时序融合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模型与云多元化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组织需要跨商业/开源/国产模型的一致控制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统一 Guard API、模型适配、影子与路由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安全即发布证据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规则/模型更新必须可验证、可审计、可回滚</w:t>
            </w:r>
          </w:p>
        </w:tc>
        <w:tc>
          <w:tcPr>
            <w:tcW w:type="dxa" w:w="36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不可变评测、门禁、签名 Bundle、灰度和回滚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AI 供应链扩大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模型、数据、规则、Skill/MCP 都可能被污染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AI-BOM、摘要、签名、许可、扫描和双人准入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资源安全与成本安全融合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攻击者可用长上下文和高成本检测器制造拒绝服务</w:t>
            </w:r>
          </w:p>
        </w:tc>
        <w:tc>
          <w:tcPr>
            <w:tcW w:type="dxa" w:w="36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Tokenizer、复杂度计价、42 项配额、三优先级公平调度</w:t>
            </w:r>
          </w:p>
        </w:tc>
      </w:tr>
    </w:tbl>
    <w:p>
      <w:pPr>
        <w:spacing w:after="0"/>
      </w:pPr>
    </w:p>
    <w:p>
      <w:pPr>
        <w:pStyle w:val="Heading1"/>
      </w:pPr>
      <w:r>
        <w:t>3. 产品定位与设计原则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工程含义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统一决策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文本、RAG、Agent、多模态和扫描使用同一动作、风险、证据和 Trace 语义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策略即代码与证据</w:t>
            </w:r>
          </w:p>
        </w:tc>
        <w:tc>
          <w:tcPr>
            <w:tcW w:type="dxa" w:w="66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策略、模型、Tokenizer、资源和失败策略进入签名 Bundle，不依赖运行时隐式变量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默认最小权限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按租户、应用、主体、角色、工具和数据范围授权；出站域名显式放行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失败可控</w:t>
            </w:r>
          </w:p>
        </w:tc>
        <w:tc>
          <w:tcPr>
            <w:tcW w:type="dxa" w:w="66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关键检测器可 fail-closed；异步任务、回调、TONE 和扫描具备幂等与重试边界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发布可逆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影子观察、分段灰度、健康信号和上一版本原子回滚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声明可证明</w:t>
            </w:r>
          </w:p>
        </w:tc>
        <w:tc>
          <w:tcPr>
            <w:tcW w:type="dxa" w:w="66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代码通过与现场验收分离；所有指标绑定数据、环境、版本、摘要和审批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平台可替换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模型、扫描器、数据库、消息和硬件经适配层替换，但每个组合必须独立验证</w:t>
            </w:r>
          </w:p>
        </w:tc>
      </w:tr>
    </w:tbl>
    <w:p>
      <w:pPr>
        <w:spacing w:after="0"/>
      </w:pPr>
    </w:p>
    <w:p>
      <w:pPr>
        <w:pStyle w:val="Heading1"/>
      </w:pPr>
      <w:r>
        <w:t>4. 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3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00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核心组件</w:t>
            </w:r>
          </w:p>
        </w:tc>
        <w:tc>
          <w:tcPr>
            <w:tcW w:type="dxa" w:w="476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职责与安全边界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接入层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控制台、REST API、应用 SDK、Java Gateway、RAG/Agent/文件入口</w:t>
            </w:r>
          </w:p>
        </w:tc>
        <w:tc>
          <w:tcPr>
            <w:tcW w:type="dxa" w:w="476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统一认证、租户/应用作用域、请求 ID/Trace ID、限流与输入约束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控制层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签名策略包、GuardEngine V2 DAG、版本状态机、灰度路由</w:t>
            </w:r>
          </w:p>
        </w:tc>
        <w:tc>
          <w:tcPr>
            <w:tcW w:type="dxa" w:w="47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将规则、模型、阈值、资源和失败策略编译到不可变签名包；发布与回滚原子绑定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检测层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规则/安全正则、语义分类器、LLM Judge、DLP、多模态、RAG Groundedness</w:t>
            </w:r>
          </w:p>
        </w:tc>
        <w:tc>
          <w:tcPr>
            <w:tcW w:type="dxa" w:w="476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多信号融合，输出风险、置信度、证据和 allow/warn/mask/rewrite/block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Agent 层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Action Intent、Action Firewall、审批、一次性 Permit、结果复检</w:t>
            </w:r>
          </w:p>
        </w:tc>
        <w:tc>
          <w:tcPr>
            <w:tcW w:type="dxa" w:w="47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所有有副作用工具调用先授权再执行，Permit 绑定意图、主体、参数和时效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数据层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PostgreSQL、Redis、对象存储、Kafka/Syslog、数据目录</w:t>
            </w:r>
          </w:p>
        </w:tc>
        <w:tc>
          <w:tcPr>
            <w:tcW w:type="dxa" w:w="476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状态、计数、工件、事件与审计证据分层保存；外部平台独立运维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运营层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安全事件、四域事件、审计链、报表、TONE/SIEM、指标与告警</w:t>
            </w:r>
          </w:p>
        </w:tc>
        <w:tc>
          <w:tcPr>
            <w:tcW w:type="dxa" w:w="47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从检测到研判、处置、复盘和外发，支持证据完整性与幂等重试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供应链层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AI-BOM、镜像/模型/规则签名、扫描器准入、离线包</w:t>
            </w:r>
          </w:p>
        </w:tc>
        <w:tc>
          <w:tcPr>
            <w:tcW w:type="dxa" w:w="476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固定版本、摘要、许可和审批；生产镜像必须使用不可变 digest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适配层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PAL/HAL 接口、模型适配器、外部扫描器/模型/KMS</w:t>
            </w:r>
          </w:p>
        </w:tc>
        <w:tc>
          <w:tcPr>
            <w:tcW w:type="dxa" w:w="47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隔离厂商差异；接口存在不等于具体产品或硬件已完成适配验收</w:t>
            </w:r>
          </w:p>
        </w:tc>
      </w:tr>
    </w:tbl>
    <w:p>
      <w:pPr>
        <w:spacing w:after="0"/>
      </w:pPr>
    </w:p>
    <w:p>
      <w:pPr>
        <w:pStyle w:val="Heading2"/>
      </w:pPr>
      <w:r>
        <w:t>4.1 核心请求路径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Microsoft YaHei" w:hAnsi="Microsoft YaHei" w:eastAsia="Microsoft YaHei"/>
        </w:rPr>
        <w:t>接入与身份：认证请求，确定租户、应用、用户/组、凭证、模型和 API 作用域。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Microsoft YaHei" w:hAnsi="Microsoft YaHei" w:eastAsia="Microsoft YaHei"/>
        </w:rPr>
        <w:t>可信上下文：验证系统提示、用户输入、RAG 片段、工具结果和外部事件的来源与能力。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Microsoft YaHei" w:hAnsi="Microsoft YaHei" w:eastAsia="Microsoft YaHei"/>
        </w:rPr>
        <w:t>资源准入：以精确 Tokenizer 和复杂度模型预占多维配额，拒绝超限或不可证明的请求。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Microsoft YaHei" w:hAnsi="Microsoft YaHei" w:eastAsia="Microsoft YaHei"/>
        </w:rPr>
        <w:t>安全检测：规则、语义、Judge、DLP、多模态和领域检测按签名 DAG 执行。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Microsoft YaHei" w:hAnsi="Microsoft YaHei" w:eastAsia="Microsoft YaHei"/>
        </w:rPr>
        <w:t>决策与处置：聚合风险与证据，执行放行、警告、脱敏、改写或阻断。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Microsoft YaHei" w:hAnsi="Microsoft YaHei" w:eastAsia="Microsoft YaHei"/>
        </w:rPr>
        <w:t>证据与运营：记录版本、节点结果、Trace、动作、事件与审计链，支持发布和运营闭环。</w:t>
      </w:r>
    </w:p>
    <w:p>
      <w:pPr>
        <w:pStyle w:val="Heading1"/>
      </w:pPr>
      <w:r>
        <w:t>5. 核心能力</w:t>
      </w:r>
    </w:p>
    <w:p>
      <w:pPr>
        <w:pStyle w:val="Heading2"/>
      </w:pPr>
      <w:r>
        <w:t>5.1 内容与对话护栏</w:t>
      </w:r>
    </w:p>
    <w:p>
      <w:r>
        <w:rPr>
          <w:rFonts w:ascii="Microsoft YaHei" w:hAnsi="Microsoft YaHei" w:eastAsia="Microsoft YaHei"/>
          <w:color w:val="1A2433"/>
        </w:rPr>
        <w:t>平台覆盖用户输入和模型输出，内置 16 维度风险骨架。规则、安全正则、语义分类和 LLM Judge 可以按风险与成本分级执行，聚合为统一动作。安全改写和脱敏与原始证据分离，避免处置后丢失研判依据。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处置</w:t>
            </w:r>
          </w:p>
        </w:tc>
        <w:tc>
          <w:tcPr>
            <w:tcW w:type="dxa" w:w="408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适用情况</w:t>
            </w:r>
          </w:p>
        </w:tc>
        <w:tc>
          <w:tcPr>
            <w:tcW w:type="dxa" w:w="323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注意事项</w:t>
            </w:r>
          </w:p>
        </w:tc>
      </w:tr>
      <w:tr>
        <w:trPr>
          <w:cantSplit/>
        </w:trPr>
        <w:tc>
          <w:tcPr>
            <w:tcW w:type="dxa" w:w="15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allow</w:t>
            </w:r>
          </w:p>
        </w:tc>
        <w:tc>
          <w:tcPr>
            <w:tcW w:type="dxa" w:w="408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无风险或命中受控白名单</w:t>
            </w:r>
          </w:p>
        </w:tc>
        <w:tc>
          <w:tcPr>
            <w:tcW w:type="dxa" w:w="32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仍记录版本和必要审计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warn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风险可提示但业务允许继续</w:t>
            </w:r>
          </w:p>
        </w:tc>
        <w:tc>
          <w:tcPr>
            <w:tcW w:type="dxa" w:w="32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应避免让警告成为默认绕过</w:t>
            </w:r>
          </w:p>
        </w:tc>
      </w:tr>
      <w:tr>
        <w:trPr>
          <w:cantSplit/>
        </w:trPr>
        <w:tc>
          <w:tcPr>
            <w:tcW w:type="dxa" w:w="15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mask</w:t>
            </w:r>
          </w:p>
        </w:tc>
        <w:tc>
          <w:tcPr>
            <w:tcW w:type="dxa" w:w="408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可通过替换敏感实体继续业务</w:t>
            </w:r>
          </w:p>
        </w:tc>
        <w:tc>
          <w:tcPr>
            <w:tcW w:type="dxa" w:w="32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记录实体类型，不扩大原文可见范围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rewrite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可安全化改写且不破坏业务意图</w:t>
            </w:r>
          </w:p>
        </w:tc>
        <w:tc>
          <w:tcPr>
            <w:tcW w:type="dxa" w:w="32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改写结果应再次检测</w:t>
            </w:r>
          </w:p>
        </w:tc>
      </w:tr>
      <w:tr>
        <w:trPr>
          <w:cantSplit/>
        </w:trPr>
        <w:tc>
          <w:tcPr>
            <w:tcW w:type="dxa" w:w="15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block</w:t>
            </w:r>
          </w:p>
        </w:tc>
        <w:tc>
          <w:tcPr>
            <w:tcW w:type="dxa" w:w="408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高风险、越权、资源超限或关键检测失败</w:t>
            </w:r>
          </w:p>
        </w:tc>
        <w:tc>
          <w:tcPr>
            <w:tcW w:type="dxa" w:w="32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返回可审计理由，不泄露检测器细节</w:t>
            </w:r>
          </w:p>
        </w:tc>
      </w:tr>
    </w:tbl>
    <w:p>
      <w:pPr>
        <w:spacing w:after="0"/>
      </w:pPr>
    </w:p>
    <w:p>
      <w:pPr>
        <w:pStyle w:val="Heading2"/>
      </w:pPr>
      <w:r>
        <w:t>5.2 RAG 可信性</w:t>
      </w:r>
    </w:p>
    <w:p>
      <w:r>
        <w:rPr>
          <w:rFonts w:ascii="Microsoft YaHei" w:hAnsi="Microsoft YaHei" w:eastAsia="Microsoft YaHei"/>
          <w:color w:val="1A2433"/>
        </w:rPr>
        <w:t>RAG 安全不是在最终输出上再做一次过滤，而是在知识入库、检索、上下文组装和回答生成四个阶段保存来源、执行 ACL、约束来源能力并评估 Groundedness。可信片段不能因为进入上下文就获得覆盖系统指令的权限。</w:t>
      </w:r>
    </w:p>
    <w:p>
      <w:pPr>
        <w:pStyle w:val="Heading2"/>
      </w:pPr>
      <w:r>
        <w:t>5.3 Agent 与工具</w:t>
      </w:r>
    </w:p>
    <w:p>
      <w:r>
        <w:rPr>
          <w:rFonts w:ascii="Microsoft YaHei" w:hAnsi="Microsoft YaHei" w:eastAsia="Microsoft YaHei"/>
          <w:color w:val="1A2433"/>
        </w:rPr>
        <w:t>Action Firewall 将内容决策延伸到实际执行。每次有副作用的调用先形成 Action Intent，再结合主体、工具、参数、环境和证据授权。需要人工介入时进入审批；批准后签发一次性、短时 Permit。执行结果仍需复检，防止工具返回内容反向污染模型。</w:t>
      </w:r>
    </w:p>
    <w:p>
      <w:pPr>
        <w:pStyle w:val="Heading2"/>
      </w:pPr>
      <w:r>
        <w:t>5.4 数据安全与 DLP</w:t>
      </w:r>
    </w:p>
    <w:p>
      <w:r>
        <w:rPr>
          <w:rFonts w:ascii="Microsoft YaHei" w:hAnsi="Microsoft YaHei" w:eastAsia="Microsoft YaHei"/>
          <w:color w:val="1A2433"/>
        </w:rPr>
        <w:t>平台将实体识别、脱敏、数据目录、谱系、留存、删除证明和内容标识组合使用。默认不保存原始内容；只有具备 content:raw 权限且环境显式开启时才允许受控原文处理。确定性实体与经准入的上下文模型可以融合，但模型组件本身需要许可、摘要和现场评估。</w:t>
      </w:r>
    </w:p>
    <w:p>
      <w:pPr>
        <w:pStyle w:val="Heading2"/>
      </w:pPr>
      <w:r>
        <w:t>5.5 评测、发布与运营</w:t>
      </w:r>
    </w:p>
    <w:p>
      <w:r>
        <w:rPr>
          <w:rFonts w:ascii="Microsoft YaHei" w:hAnsi="Microsoft YaHei" w:eastAsia="Microsoft YaHei"/>
          <w:color w:val="1A2433"/>
        </w:rPr>
        <w:t>评测运行不仅输出一个总分，还固定数据集、模型、Tokenizer、策略包、环境和首次尝试。策略包从草稿到测试、待审批、已审批、影子、灰度、全量的每一步都有合法迁移。安全事件和审计系统将线上发现转为责任人、SLA、处置说明、报告和 SOC/TONE 回执。</w:t>
      </w:r>
    </w:p>
    <w:p>
      <w:pPr>
        <w:pStyle w:val="Heading2"/>
      </w:pPr>
      <w:r>
        <w:t>5.6 多模态与供应链</w:t>
      </w:r>
    </w:p>
    <w:p>
      <w:r>
        <w:rPr>
          <w:rFonts w:ascii="Microsoft YaHei" w:hAnsi="Microsoft YaHei" w:eastAsia="Microsoft YaHei"/>
          <w:color w:val="1A2433"/>
        </w:rPr>
        <w:t>文件先经过安全工件入口，再由受控分析器处理。模型、数据、规则、扫描器、工具、MCP 和 Agent Skill 都作为供应链资产记录摘要、许可、权限和审批。当前多模态与供应链处于部分基线，真实分析器、扫描器和攻击语料必须由客户环境准入。</w:t>
      </w:r>
    </w:p>
    <w:p>
      <w:pPr>
        <w:pStyle w:val="Heading1"/>
      </w:pPr>
      <w:r>
        <w:t>6. 安全体系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控制域</w:t>
            </w:r>
          </w:p>
        </w:tc>
        <w:tc>
          <w:tcPr>
            <w:tcW w:type="dxa" w:w="408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300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主要风险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身份与租户</w:t>
            </w:r>
          </w:p>
        </w:tc>
        <w:tc>
          <w:tcPr>
            <w:tcW w:type="dxa" w:w="408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6 角色 RBAC、租户/应用作用域、服务身份、CSRF/限流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越权、跨租户、会话劫持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接口与出站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Schema、Body/Media 限制、Problem Details、HTTPS allowlist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SSRF、注入、异常放大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策略与密钥</w:t>
            </w:r>
          </w:p>
        </w:tc>
        <w:tc>
          <w:tcPr>
            <w:tcW w:type="dxa" w:w="408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Ed25519 Bundle、Secret/KMS、双人审批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策略篡改、密钥泄露、自审批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数据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DLP、最小原文、留存/删除、谱系、内容标识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敏感外传、过度留存、不可追溯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资源</w:t>
            </w:r>
          </w:p>
        </w:tc>
        <w:tc>
          <w:tcPr>
            <w:tcW w:type="dxa" w:w="408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精确 Tokenizer、多作用域配额、公平调度、并发隔离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Guard DoS、成本失控、噪声租户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审计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追加写、哈希链、可信时间、外发幂等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抵赖、篡改、断链丢失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供应链</w:t>
            </w:r>
          </w:p>
        </w:tc>
        <w:tc>
          <w:tcPr>
            <w:tcW w:type="dxa" w:w="408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AI-BOM、digest、签名、SBOM、扫描器准入</w:t>
            </w:r>
          </w:p>
        </w:tc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恶意组件、版本漂移、许可证风险</w:t>
            </w:r>
          </w:p>
        </w:tc>
      </w:tr>
    </w:tbl>
    <w:p>
      <w:pPr>
        <w:spacing w:after="0"/>
      </w:pPr>
    </w:p>
    <w:p>
      <w:pPr>
        <w:pStyle w:val="Heading1"/>
      </w:pPr>
      <w:r>
        <w:t>7. 部署与集成</w:t>
      </w:r>
    </w:p>
    <w:p>
      <w:pPr>
        <w:pStyle w:val="Heading2"/>
      </w:pPr>
      <w:r>
        <w:t>7.1 推荐部署</w:t>
      </w:r>
    </w:p>
    <w:p>
      <w:r>
        <w:rPr>
          <w:rFonts w:ascii="Microsoft YaHei" w:hAnsi="Microsoft YaHei" w:eastAsia="Microsoft YaHei"/>
          <w:color w:val="1A2433"/>
        </w:rPr>
        <w:t>Version A 建议部署为独立软件网关和控制应用。生产 Kubernetes 环境通过 Helm/Kustomize 将网关、控制面和 Worker 隔离到不同命名空间，服务间使用 STRICT mTLS 或受控 TLS。PostgreSQL、Redis、Kafka/Syslog、对象存储、搜索、PKI 和可观测性由企业平台提供并按自身 HA/DR 管理。</w:t>
      </w:r>
    </w:p>
    <w:p>
      <w:pPr>
        <w:pStyle w:val="Heading2"/>
      </w:pPr>
      <w:r>
        <w:t>7.2 离线与信创</w:t>
      </w:r>
    </w:p>
    <w:p>
      <w:r>
        <w:rPr>
          <w:rFonts w:ascii="Microsoft YaHei" w:hAnsi="Microsoft YaHei" w:eastAsia="Microsoft YaHei"/>
          <w:color w:val="1A2433"/>
        </w:rPr>
        <w:t>离线交付在受控联网构建机上完成签名验证、镜像导出、SBOM 和校验和，再通过批准介质导入。OCI 容器和 PAL/HAL 降低平台耦合，但任何国产 CPU、加速器、操作系统、数据库和中间件组合都必须提交逐组合兼容与性能报告，不能由抽象层直接推导“已认证”。</w:t>
      </w:r>
    </w:p>
    <w:p>
      <w:pPr>
        <w:pStyle w:val="Heading2"/>
      </w:pPr>
      <w:r>
        <w:t>7.3 集成对象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7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345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集成方式</w:t>
            </w:r>
          </w:p>
        </w:tc>
        <w:tc>
          <w:tcPr>
            <w:tcW w:type="dxa" w:w="357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安全要求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AI 中台/API 网关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REST/Java Gateway/SDK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服务身份、作用域、Trace、限流、失败策略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模型服务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OpenAI 兼容或供应商适配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HTTPS allowlist、Secret、模型/权重摘要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RAG/向量平台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RAG 安全 API 与入库 Worker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来源、ACL、索引/语料版本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Agent/MCP/Tool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授权、审批、Permit、结果 API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工具登记、参数绑定、重放防护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SOC/SIEM/TONE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Kafka、Syslog、签名 HTTP outbox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HMAC、幂等、重试、字段映射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IAM/SSO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外部身份与角色映射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MFA、生命周期、应急账号、范围授权</w:t>
            </w:r>
          </w:p>
        </w:tc>
      </w:tr>
    </w:tbl>
    <w:p>
      <w:pPr>
        <w:spacing w:after="0"/>
      </w:pPr>
    </w:p>
    <w:p>
      <w:pPr>
        <w:pStyle w:val="Heading1"/>
      </w:pPr>
      <w:r>
        <w:t>8. 应用场景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9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行业/场景</w:t>
            </w:r>
          </w:p>
        </w:tc>
        <w:tc>
          <w:tcPr>
            <w:tcW w:type="dxa" w:w="368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方案组合</w:t>
            </w:r>
          </w:p>
        </w:tc>
        <w:tc>
          <w:tcPr>
            <w:tcW w:type="dxa" w:w="311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可衡量结果</w:t>
            </w:r>
          </w:p>
        </w:tc>
      </w:tr>
      <w:tr>
        <w:trPr>
          <w:cantSplit/>
        </w:trPr>
        <w:tc>
          <w:tcPr>
            <w:tcW w:type="dxa" w:w="209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金融客服与坐席</w:t>
            </w:r>
          </w:p>
        </w:tc>
        <w:tc>
          <w:tcPr>
            <w:tcW w:type="dxa" w:w="368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双向 Guard + DLP + 事件/审计</w:t>
            </w:r>
          </w:p>
        </w:tc>
        <w:tc>
          <w:tcPr>
            <w:tcW w:type="dxa" w:w="311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违规输入/输出处置、敏感数据外发减少、Trace 可还原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保险核保/理赔助手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数据目录 + RAG ACL + Agent 审批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健康/财产数据按级处理，高风险动作人工确认</w:t>
            </w:r>
          </w:p>
        </w:tc>
      </w:tr>
      <w:tr>
        <w:trPr>
          <w:cantSplit/>
        </w:trPr>
        <w:tc>
          <w:tcPr>
            <w:tcW w:type="dxa" w:w="209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政务知识助手</w:t>
            </w:r>
          </w:p>
        </w:tc>
        <w:tc>
          <w:tcPr>
            <w:tcW w:type="dxa" w:w="368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来源准入 + Groundedness + 内容标识</w:t>
            </w:r>
          </w:p>
        </w:tc>
        <w:tc>
          <w:tcPr>
            <w:tcW w:type="dxa" w:w="311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回答出处可核验，授权知识不越域，生成内容可识别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能源/交通运维 Agent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Action Firewall + Permit + 资源治理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危险操作受控，重放和参数替换被拒绝</w:t>
            </w:r>
          </w:p>
        </w:tc>
      </w:tr>
      <w:tr>
        <w:trPr>
          <w:cantSplit/>
        </w:trPr>
        <w:tc>
          <w:tcPr>
            <w:tcW w:type="dxa" w:w="209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工业研发与代码助手</w:t>
            </w:r>
          </w:p>
        </w:tc>
        <w:tc>
          <w:tcPr>
            <w:tcW w:type="dxa" w:w="368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密钥/DLP + 恶意代码 + 供应链</w:t>
            </w:r>
          </w:p>
        </w:tc>
        <w:tc>
          <w:tcPr>
            <w:tcW w:type="dxa" w:w="311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代码和凭证外泄风险降低，组件证据可追溯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企业 AI 安全运营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四域事件 + SIEM/TONE + 评测门禁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AI 风险进入 SOC，变更有门禁和回滚</w:t>
            </w:r>
          </w:p>
        </w:tc>
      </w:tr>
    </w:tbl>
    <w:p>
      <w:pPr>
        <w:spacing w:after="0"/>
      </w:pPr>
    </w:p>
    <w:p>
      <w:pPr>
        <w:pStyle w:val="Heading1"/>
      </w:pPr>
      <w:r>
        <w:t>9. 国际厂商能力对比</w:t>
      </w:r>
    </w:p>
    <w:p>
      <w:r>
        <w:rPr>
          <w:rFonts w:ascii="Microsoft YaHei" w:hAnsi="Microsoft YaHei" w:eastAsia="Microsoft YaHei"/>
          <w:color w:val="1A2433"/>
        </w:rPr>
        <w:t>对比依据为各厂商截至 2026-09-03 的官方公开资料，比较“公开支持的产品范围”，不构成性能排名，也不推定地域、版本、语言、许可证和集成条件。GuardLLM 一列表示仓库现状，仍受目标环境验收边界约束。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厂商/产品</w:t>
            </w:r>
          </w:p>
        </w:tc>
        <w:tc>
          <w:tcPr>
            <w:tcW w:type="dxa" w:w="15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形态</w:t>
            </w:r>
          </w:p>
        </w:tc>
        <w:tc>
          <w:tcPr>
            <w:tcW w:type="dxa" w:w="345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公开核心能力</w:t>
            </w:r>
          </w:p>
        </w:tc>
        <w:tc>
          <w:tcPr>
            <w:tcW w:type="dxa" w:w="187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相对特点/边界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Microsoft Azure AI Content Safety</w:t>
            </w:r>
          </w:p>
        </w:tc>
        <w:tc>
          <w:tcPr>
            <w:tcW w:type="dxa" w:w="15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云服务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提示攻击、文本/图像内容安全、PII/受保护材料、Groundedness 等</w:t>
            </w:r>
          </w:p>
        </w:tc>
        <w:tc>
          <w:tcPr>
            <w:tcW w:type="dxa" w:w="187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Azure 生态和托管能力成熟；部分能力、语言和区域需逐项确认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AWS Bedrock Guardrails</w:t>
            </w:r>
          </w:p>
        </w:tc>
        <w:tc>
          <w:tcPr>
            <w:tcW w:type="dxa" w:w="15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云服务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内容、Prompt Attack、拒绝主题、词表、敏感信息、Grounding、Automated Reasoning</w:t>
            </w:r>
          </w:p>
        </w:tc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与 Bedrock 模型、Agents、Knowledge Bases 集成紧密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Google Cloud Model Armor</w:t>
            </w:r>
          </w:p>
        </w:tc>
        <w:tc>
          <w:tcPr>
            <w:tcW w:type="dxa" w:w="15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云服务/API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提示注入、敏感数据、有害内容、恶意文件/URL、模型与云无关 API</w:t>
            </w:r>
          </w:p>
        </w:tc>
        <w:tc>
          <w:tcPr>
            <w:tcW w:type="dxa" w:w="187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Google Cloud 托管、DLP 与区域能力突出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NVIDIA NeMo Guardrails</w:t>
            </w:r>
          </w:p>
        </w:tc>
        <w:tc>
          <w:tcPr>
            <w:tcW w:type="dxa" w:w="15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开源框架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输入/输出、对话、检索、执行和第三方 Guardrail 编排</w:t>
            </w:r>
          </w:p>
        </w:tc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可编程性与 NVIDIA AI 生态强，生产运维需用户集成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Palo Alto Networks Prisma AIRS</w:t>
            </w:r>
          </w:p>
        </w:tc>
        <w:tc>
          <w:tcPr>
            <w:tcW w:type="dxa" w:w="15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安全平台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AI Runtime、模型扫描、红队、姿态、Agent 安全</w:t>
            </w:r>
          </w:p>
        </w:tc>
        <w:tc>
          <w:tcPr>
            <w:tcW w:type="dxa" w:w="187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网络安全运营和威胁情报体系成熟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Cisco AI Defense</w:t>
            </w:r>
          </w:p>
        </w:tc>
        <w:tc>
          <w:tcPr>
            <w:tcW w:type="dxa" w:w="15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安全平台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AI 发现、验证、运行时保护、供应链与 Agent/MCP</w:t>
            </w:r>
          </w:p>
        </w:tc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企业网络与安全平台协同能力强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GuardLLM</w:t>
            </w:r>
          </w:p>
        </w:tc>
        <w:tc>
          <w:tcPr>
            <w:tcW w:type="dxa" w:w="158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私有化软件网关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输入/输出、RAG、Agent、DLP、评测发布、审计运营、资源与供应链统一控制</w:t>
            </w:r>
          </w:p>
        </w:tc>
        <w:tc>
          <w:tcPr>
            <w:tcW w:type="dxa" w:w="187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本地部署、模型中立、证据/回滚和精细资源治理突出；云生态、威胁情报、认证与目标性能仍需建设/验收</w:t>
            </w:r>
          </w:p>
        </w:tc>
      </w:tr>
    </w:tbl>
    <w:p>
      <w:pPr>
        <w:spacing w:after="0"/>
      </w:pPr>
    </w:p>
    <w:p>
      <w:pPr>
        <w:pStyle w:val="Heading2"/>
      </w:pPr>
      <w:r>
        <w:t>9.1 竞争优势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独立部署与数据主权：适合内网、离线和原始敏感数据不出域要求。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模型与厂商中立：统一 API 和策略语义，不把控制能力绑定到单一云模型。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从内容到行动：RAG 信任门与 Agent Action Firewall 覆盖知识和副作用。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策略、资源与证据一体：签名 Bundle 同时固定检测器、Tokenizer、配额和失败策略。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精细抗资源滥用：多作用域、全生命周期、幂等计费和公平调度。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可审计发布：首次不可变评测、独立审批、影子/灰度和上一版本回滚。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可扩展供应链：扫描器、模型、数据、规则、Skill/MCP 都可登记、替换和审查。</w:t>
      </w:r>
    </w:p>
    <w:p>
      <w:pPr>
        <w:pStyle w:val="Heading2"/>
      </w:pPr>
      <w:r>
        <w:t>9.2 需要正视的差距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国际头部云/安全厂商拥有更成熟的托管全球基础设施、威胁情报、生态和商业认证。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GuardLLM 的真实语义/多模态模型、扫描器、TONE/SOC、信创软硬件和完整性能需逐项目准入。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外部 SSO/MFA、企业 KMS/HSM、长期 HA/DR、红队内容和第三方测评仍是交付工程。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Version B 网络数据面尚未立项完成，不应与成熟 NGFW/IPS/AV/DDoS 产品等同。</w:t>
      </w:r>
    </w:p>
    <w:p>
      <w:pPr>
        <w:pStyle w:val="Heading1"/>
      </w:pPr>
      <w:r>
        <w:t>10. 能力状态与证据治理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55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51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可以表述</w:t>
            </w:r>
          </w:p>
        </w:tc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不得表述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CODE_IMPLEMENTED_ACCEPTANCE_PENDING</w:t>
            </w:r>
          </w:p>
        </w:tc>
        <w:tc>
          <w:tcPr>
            <w:tcW w:type="dxa" w:w="351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代码、测试、构建、部署资产和验收方法已具备</w:t>
            </w:r>
          </w:p>
        </w:tc>
        <w:tc>
          <w:tcPr>
            <w:tcW w:type="dxa" w:w="28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已在客户环境达到效果/性能/稳定性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PARTIAL_BASELINE</w:t>
            </w:r>
          </w:p>
        </w:tc>
        <w:tc>
          <w:tcPr>
            <w:tcW w:type="dxa" w:w="351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框架、接口、部分实现和本地测试存在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完整多模态/供应链能力开箱即用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IN_PROGRESS_EXTERNAL</w:t>
            </w:r>
          </w:p>
        </w:tc>
        <w:tc>
          <w:tcPr>
            <w:tcW w:type="dxa" w:w="351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治理文件和所需输入已定义</w:t>
            </w:r>
          </w:p>
        </w:tc>
        <w:tc>
          <w:tcPr>
            <w:tcW w:type="dxa" w:w="28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目标环境和数据已冻结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BLOCKED_EXTERNAL</w:t>
            </w:r>
          </w:p>
        </w:tc>
        <w:tc>
          <w:tcPr>
            <w:tcW w:type="dxa" w:w="351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边界和前置契约已定义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硬件/网络一体机已经交付</w:t>
            </w:r>
          </w:p>
        </w:tc>
      </w:tr>
    </w:tbl>
    <w:p>
      <w:pPr>
        <w:spacing w:after="0"/>
      </w:pPr>
    </w:p>
    <w:p>
      <w:pPr>
        <w:pStyle w:val="Heading2"/>
      </w:pPr>
      <w:r>
        <w:t>10.1 当前代码质量证据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计划检查：13 个工作包和 5 个禁用声明规则通过。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契约检查、TypeScript 检查、质量基线通过。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Vitest：100 个测试文件、396 项通过。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Next.js 16.3.3 生产构建：80 个路由通过。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Python SDK：3 项测试通过；Lint 0 错误、84 条基线警告。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Go/JDK/Maven、目标 PostgreSQL 集成、真实外部依赖和现场验收未执行。</w:t>
      </w:r>
    </w:p>
    <w:p>
      <w:pPr>
        <w:pStyle w:val="Heading1"/>
      </w:pPr>
      <w:r>
        <w:t>11. 分阶段落地路线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1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24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周期建议</w:t>
            </w:r>
          </w:p>
        </w:tc>
        <w:tc>
          <w:tcPr>
            <w:tcW w:type="dxa" w:w="396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交付门</w:t>
            </w:r>
          </w:p>
        </w:tc>
      </w:tr>
      <w:tr>
        <w:trPr>
          <w:cantSplit/>
        </w:trPr>
        <w:tc>
          <w:tcPr>
            <w:tcW w:type="dxa" w:w="14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0 范围冻结</w:t>
            </w:r>
          </w:p>
        </w:tc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1~2 周</w:t>
            </w:r>
          </w:p>
        </w:tc>
        <w:tc>
          <w:tcPr>
            <w:tcW w:type="dxa" w:w="396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SKU、模型/Tokenizer、数据、环境、第三方、指标、责任人</w:t>
            </w:r>
          </w:p>
        </w:tc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签名范围/环境清单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1 核心护栏 POC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2~4 周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Guard、策略、模型、API、基础审计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业务样本功能与安全用例</w:t>
            </w:r>
          </w:p>
        </w:tc>
      </w:tr>
      <w:tr>
        <w:trPr>
          <w:cantSplit/>
        </w:trPr>
        <w:tc>
          <w:tcPr>
            <w:tcW w:type="dxa" w:w="14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2 RAG/Agent</w:t>
            </w:r>
          </w:p>
        </w:tc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3~6 周</w:t>
            </w:r>
          </w:p>
        </w:tc>
        <w:tc>
          <w:tcPr>
            <w:tcW w:type="dxa" w:w="396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来源/ACL/Grounding、工具授权/审批/Permit</w:t>
            </w:r>
          </w:p>
        </w:tc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一个 RAG 和一个 Agent 端到端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3 运营集成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3~6 周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事件、SIEM/TONE、IAM、数据目录、留存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SOC 与审计联合验收</w:t>
            </w:r>
          </w:p>
        </w:tc>
      </w:tr>
      <w:tr>
        <w:trPr>
          <w:cantSplit/>
        </w:trPr>
        <w:tc>
          <w:tcPr>
            <w:tcW w:type="dxa" w:w="14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4 效果/性能</w:t>
            </w:r>
          </w:p>
        </w:tc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2~4 周</w:t>
            </w:r>
          </w:p>
        </w:tc>
        <w:tc>
          <w:tcPr>
            <w:tcW w:type="dxa" w:w="396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封存盲测、长上下文、并发、资源、信创组合</w:t>
            </w:r>
          </w:p>
        </w:tc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双人签名报告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5 生产发布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2~4 周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影子、灰度、全量、72 小时、故障注入、DR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上线批准与回滚证据</w:t>
            </w:r>
          </w:p>
        </w:tc>
      </w:tr>
      <w:tr>
        <w:trPr>
          <w:cantSplit/>
        </w:trPr>
        <w:tc>
          <w:tcPr>
            <w:tcW w:type="dxa" w:w="14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6 持续运营</w:t>
            </w:r>
          </w:p>
        </w:tc>
        <w:tc>
          <w:tcPr>
            <w:tcW w:type="dxa" w:w="124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持续</w:t>
            </w:r>
          </w:p>
        </w:tc>
        <w:tc>
          <w:tcPr>
            <w:tcW w:type="dxa" w:w="396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月度题库、供应链、策略、指标和演练</w:t>
            </w:r>
          </w:p>
        </w:tc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持续合规与季度复核</w:t>
            </w:r>
          </w:p>
        </w:tc>
      </w:tr>
    </w:tbl>
    <w:p>
      <w:pPr>
        <w:spacing w:after="0"/>
      </w:pPr>
    </w:p>
    <w:p>
      <w:pPr>
        <w:pStyle w:val="Heading1"/>
      </w:pPr>
      <w:r>
        <w:t>12. 结论</w:t>
      </w:r>
    </w:p>
    <w:p>
      <w:r>
        <w:rPr>
          <w:rFonts w:ascii="Microsoft YaHei" w:hAnsi="Microsoft YaHei" w:eastAsia="Microsoft YaHei"/>
          <w:color w:val="1A2433"/>
        </w:rPr>
        <w:t>GuardLLM 的差异化不是单一检测器，而是把内容、上下文、资源、工具行动、供应链、发布和运营放在一个一致的安全决策与证据体系中。对关键基础设施客户，合理的采购与建设路径是先以 Version A 软件网关完成目标业务 POC，再用封存数据和生产同构环境验证效果、性能与韧性；网络数据面如确有需求，应作为 Version B 独立立项、选型和验收。</w:t>
      </w:r>
    </w:p>
    <w:p>
      <w:pPr>
        <w:pStyle w:val="Heading1"/>
      </w:pPr>
      <w:r>
        <w:t>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73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328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资料</w:t>
            </w:r>
          </w:p>
        </w:tc>
        <w:tc>
          <w:tcPr>
            <w:tcW w:type="dxa" w:w="4876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官方链接</w:t>
            </w:r>
          </w:p>
        </w:tc>
      </w:tr>
      <w:tr>
        <w:trPr>
          <w:cantSplit/>
        </w:trPr>
        <w:tc>
          <w:tcPr>
            <w:tcW w:type="dxa" w:w="73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1</w:t>
            </w:r>
          </w:p>
        </w:tc>
        <w:tc>
          <w:tcPr>
            <w:tcW w:type="dxa" w:w="32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NIST AI RMF Generative AI Profile</w:t>
            </w:r>
          </w:p>
        </w:tc>
        <w:tc>
          <w:tcPr>
            <w:tcW w:type="dxa" w:w="487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https://www.nist.gov/publications/artificial-intelligence-risk-management-framework-generative-artificial-intelligence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2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NIST AI RMF 与关键基础设施可信 AI 工作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https://www.nist.gov/itl/ai-risk-management-framework</w:t>
            </w:r>
          </w:p>
        </w:tc>
      </w:tr>
      <w:tr>
        <w:trPr>
          <w:cantSplit/>
        </w:trPr>
        <w:tc>
          <w:tcPr>
            <w:tcW w:type="dxa" w:w="73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3</w:t>
            </w:r>
          </w:p>
        </w:tc>
        <w:tc>
          <w:tcPr>
            <w:tcW w:type="dxa" w:w="32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MITRE ATLAS</w:t>
            </w:r>
          </w:p>
        </w:tc>
        <w:tc>
          <w:tcPr>
            <w:tcW w:type="dxa" w:w="487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https://atlas.mitre.org/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4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OWASP GenAI LLM Top 10 2026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https://genai.owasp.org/resource/owasp-genai-llm-top-10-2026/</w:t>
            </w:r>
          </w:p>
        </w:tc>
      </w:tr>
      <w:tr>
        <w:trPr>
          <w:cantSplit/>
        </w:trPr>
        <w:tc>
          <w:tcPr>
            <w:tcW w:type="dxa" w:w="73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5</w:t>
            </w:r>
          </w:p>
        </w:tc>
        <w:tc>
          <w:tcPr>
            <w:tcW w:type="dxa" w:w="32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OWASP Top 10 for Agentic Applications</w:t>
            </w:r>
          </w:p>
        </w:tc>
        <w:tc>
          <w:tcPr>
            <w:tcW w:type="dxa" w:w="487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https://genai.owasp.org/2025/12/09/owasp-top-10-for-agentic-applications-the-benchmark-for-agentic-security-in-the-age-of-autonomous-ai/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6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NIST SP 800-218A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https://csrc.nist.gov/pubs/sp/800/218/a/final</w:t>
            </w:r>
          </w:p>
        </w:tc>
      </w:tr>
      <w:tr>
        <w:trPr>
          <w:cantSplit/>
        </w:trPr>
        <w:tc>
          <w:tcPr>
            <w:tcW w:type="dxa" w:w="73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7</w:t>
            </w:r>
          </w:p>
        </w:tc>
        <w:tc>
          <w:tcPr>
            <w:tcW w:type="dxa" w:w="32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生成式人工智能服务管理暂行办法</w:t>
            </w:r>
          </w:p>
        </w:tc>
        <w:tc>
          <w:tcPr>
            <w:tcW w:type="dxa" w:w="487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https://www.cac.gov.cn/2023-07/13/c_1690898327029107.htm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8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人工智能生成合成内容标识办法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https://www.cac.gov.cn/2025-03/14/c_1743654684782215.htm</w:t>
            </w:r>
          </w:p>
        </w:tc>
      </w:tr>
      <w:tr>
        <w:trPr>
          <w:cantSplit/>
        </w:trPr>
        <w:tc>
          <w:tcPr>
            <w:tcW w:type="dxa" w:w="73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9</w:t>
            </w:r>
          </w:p>
        </w:tc>
        <w:tc>
          <w:tcPr>
            <w:tcW w:type="dxa" w:w="32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Microsoft Azure AI Content Safety</w:t>
            </w:r>
          </w:p>
        </w:tc>
        <w:tc>
          <w:tcPr>
            <w:tcW w:type="dxa" w:w="487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https://learn.microsoft.com/en-us/azure/ai-services/content-safety/overview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10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AWS Bedrock Guardrails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https://docs.aws.amazon.com/bedrock/latest/userguide/guardrails-components.html</w:t>
            </w:r>
          </w:p>
        </w:tc>
      </w:tr>
      <w:tr>
        <w:trPr>
          <w:cantSplit/>
        </w:trPr>
        <w:tc>
          <w:tcPr>
            <w:tcW w:type="dxa" w:w="73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11</w:t>
            </w:r>
          </w:p>
        </w:tc>
        <w:tc>
          <w:tcPr>
            <w:tcW w:type="dxa" w:w="32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Google Cloud Model Armor</w:t>
            </w:r>
          </w:p>
        </w:tc>
        <w:tc>
          <w:tcPr>
            <w:tcW w:type="dxa" w:w="487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https://docs.cloud.google.com/model-armor/overview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12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NVIDIA NeMo Guardrails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https://docs.nvidia.com/nemo/guardrails/latest/home</w:t>
            </w:r>
          </w:p>
        </w:tc>
      </w:tr>
      <w:tr>
        <w:trPr>
          <w:cantSplit/>
        </w:trPr>
        <w:tc>
          <w:tcPr>
            <w:tcW w:type="dxa" w:w="73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13</w:t>
            </w:r>
          </w:p>
        </w:tc>
        <w:tc>
          <w:tcPr>
            <w:tcW w:type="dxa" w:w="32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Palo Alto Networks Prisma AIRS</w:t>
            </w:r>
          </w:p>
        </w:tc>
        <w:tc>
          <w:tcPr>
            <w:tcW w:type="dxa" w:w="487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https://docs.paloaltonetworks.com/ai-runtime-security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14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Cisco AI Defense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https://www.cisco.com/c/en/us/products/collateral/security/ai-defense/ai-defense-ds.html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1A2433"/>
        </w:rPr>
        <w:t>仓库内部依据：README.md、package.json、src/components/layout/app-layout.tsx、src/lib/*、tests/*、deploy/*、docs/runbooks/*、acceptance/integrated-plan/*、acceptance/generated/coverage-audit.md。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版本 V1.0  |  2026-09-03  |  内部评审/客户交流稿</w:t>
    </w:r>
    <w:r>
      <w:rPr>
        <w:rFonts w:ascii="Microsoft YaHei" w:hAnsi="Microsoft YaHei" w:eastAsia="Microsoft YaHei"/>
        <w:color w:val="5B6775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B677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CAD7E2"/>
      </w:pBdr>
    </w:pPr>
    <w:r>
      <w:rPr>
        <w:rFonts w:ascii="Microsoft YaHei" w:hAnsi="Microsoft YaHei" w:eastAsia="Microsoft YaHei"/>
        <w:b/>
        <w:color w:val="1D63A9"/>
        <w:sz w:val="16"/>
      </w:rPr>
      <w:t>GUARDLLM  /  GL-WP-001</w:t>
    </w:r>
    <w:r>
      <w:t xml:space="preserve">   </w:t>
    </w:r>
    <w:r>
      <w:rPr>
        <w:rFonts w:ascii="Microsoft YaHei" w:hAnsi="Microsoft YaHei" w:eastAsia="Microsoft YaHei"/>
        <w:color w:val="5B6775"/>
        <w:sz w:val="16"/>
      </w:rPr>
      <w:t>受控产品资料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A24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63A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63A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98" w:right="198"/>
    </w:pPr>
    <w:rPr>
      <w:rFonts w:ascii="Cascadia Mono" w:hAnsi="Cascadia Mono" w:eastAsia="Microsoft YaHei"/>
      <w:color w:val="24344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