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drawing>
          <wp:inline xmlns:a="http://schemas.openxmlformats.org/drawingml/2006/main" xmlns:pic="http://schemas.openxmlformats.org/drawingml/2006/picture">
            <wp:extent cx="1417320" cy="455673"/>
            <wp:docPr id="1" name="Picture 1" title="国舜科技标识" descr="国舜大模型安全护栏品牌标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455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560"/>
      </w:pPr>
    </w:p>
    <w:p>
      <w:pPr>
        <w:spacing w:after="280"/>
        <w:jc w:val="center"/>
      </w:pPr>
      <w:r>
        <w:rPr>
          <w:rFonts w:ascii="Calibri" w:hAnsi="Calibri" w:eastAsia="Microsoft YaHei"/>
          <w:b/>
          <w:color w:val="C9922E"/>
          <w:sz w:val="21"/>
        </w:rPr>
        <w:t>GUARDLLM  ·  MAJOR RELEASE REVIEW</w:t>
      </w:r>
    </w:p>
    <w:p>
      <w:pPr>
        <w:pStyle w:val="Title"/>
        <w:jc w:val="center"/>
      </w:pPr>
      <w:r>
        <w:t>国舜大模型安全护栏</w:t>
        <w:br/>
        <w:t>大版本升级总结</w:t>
      </w:r>
    </w:p>
    <w:p>
      <w:pPr>
        <w:pStyle w:val="Subtitle"/>
        <w:jc w:val="center"/>
      </w:pPr>
      <w:r>
        <w:t>功能、性能与场景价值说明</w:t>
      </w:r>
    </w:p>
    <w:p>
      <w:pPr>
        <w:spacing w:before="160" w:after="880"/>
        <w:jc w:val="center"/>
      </w:pPr>
      <w:r>
        <w:rPr>
          <w:rFonts w:ascii="Calibri" w:hAnsi="Calibri" w:eastAsia="Microsoft YaHei"/>
          <w:i/>
          <w:color w:val="5B6573"/>
          <w:sz w:val="22"/>
        </w:rPr>
        <w:t>从规则检测平台升级为面向企业生产链路的统一 AI 安全治理底座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color w:val="7A8491"/>
          <w:sz w:val="19"/>
        </w:rPr>
        <w:t xml:space="preserve">版本范围  </w:t>
      </w:r>
      <w:r>
        <w:rPr>
          <w:rFonts w:ascii="Calibri" w:hAnsi="Calibri" w:eastAsia="Microsoft YaHei"/>
          <w:color w:val="1A1A1A"/>
          <w:sz w:val="19"/>
        </w:rPr>
        <w:t>af45893  →  41e3729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color w:val="7A8491"/>
          <w:sz w:val="19"/>
        </w:rPr>
        <w:t xml:space="preserve">编制日期  </w:t>
      </w:r>
      <w:r>
        <w:rPr>
          <w:rFonts w:ascii="Calibri" w:hAnsi="Calibri" w:eastAsia="Microsoft YaHei"/>
          <w:color w:val="1A1A1A"/>
          <w:sz w:val="19"/>
        </w:rPr>
        <w:t>2026-09-02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color w:val="7A8491"/>
          <w:sz w:val="19"/>
        </w:rPr>
        <w:t xml:space="preserve">文档版本  </w:t>
      </w:r>
      <w:r>
        <w:rPr>
          <w:rFonts w:ascii="Calibri" w:hAnsi="Calibri" w:eastAsia="Microsoft YaHei"/>
          <w:color w:val="1A1A1A"/>
          <w:sz w:val="19"/>
        </w:rPr>
        <w:t>V1.0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color w:val="7A8491"/>
          <w:sz w:val="19"/>
        </w:rPr>
        <w:t xml:space="preserve">适用对象  </w:t>
      </w:r>
      <w:r>
        <w:rPr>
          <w:rFonts w:ascii="Calibri" w:hAnsi="Calibri" w:eastAsia="Microsoft YaHei"/>
          <w:color w:val="1A1A1A"/>
          <w:sz w:val="19"/>
        </w:rPr>
        <w:t>产品、研发、交付、售前与安全运营团队</w:t>
      </w:r>
    </w:p>
    <w:p>
      <w:pPr>
        <w:spacing w:after="700"/>
      </w:pPr>
    </w:p>
    <w:p>
      <w:pPr>
        <w:spacing w:after="0"/>
        <w:jc w:val="center"/>
      </w:pPr>
      <w:r>
        <w:rPr>
          <w:rFonts w:ascii="Calibri" w:hAnsi="Calibri" w:eastAsia="Microsoft YaHei"/>
          <w:color w:val="7A8491"/>
          <w:sz w:val="17"/>
        </w:rPr>
        <w:t>内部版本总结  |  结论以代码、自动化测试与目标环境验收证据分层表述</w:t>
      </w:r>
    </w:p>
    <w:p>
      <w:r>
        <w:br w:type="page"/>
      </w:r>
    </w:p>
    <w:p>
      <w:pPr>
        <w:pStyle w:val="Heading1"/>
      </w:pPr>
      <w:r>
        <w:t>执行摘要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0" w:color="EAF2F8" w:space="0"/>
          <w:left w:val="single" w:sz="18" w:color="2E74B5" w:space="0"/>
          <w:bottom w:val="single" w:sz="0" w:color="EAF2F8" w:space="0"/>
          <w:right w:val="single" w:sz="0" w:color="EAF2F8" w:space="0"/>
          <w:insideH w:val="single" w:sz="0" w:color="EAF2F8" w:space="0"/>
          <w:insideV w:val="single" w:sz="0" w:color="EAF2F8" w:space="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2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</w:pPr>
            <w:r/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核心结论  </w:t>
            </w:r>
            <w:r>
              <w:rPr>
                <w:rFonts w:ascii="Calibri" w:hAnsi="Calibri" w:eastAsia="Microsoft YaHei"/>
                <w:color w:val="1A1A1A"/>
                <w:sz w:val="21"/>
              </w:rPr>
              <w:t>本次升级把 GuardLLM 从以控制台和规则检测为主的应用，推进为覆盖统一安全接入、GuardEngine V2、多模态异步分析、RAG/Agent 信任边界、策略发布、审计与生产化部署的企业级平台。代码内不存在完全无映射的需求，但目标模型效果、真实环境性能、企业系统联调和客户签名验收仍需后续完成。</w:t>
            </w:r>
          </w:p>
        </w:tc>
      </w:tr>
    </w:tbl>
    <w:p>
      <w:pPr>
        <w:spacing w:before="0"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color="FFFFFF" w:space="0"/>
          <w:left w:val="single" w:sz="8" w:color="FFFFFF" w:space="0"/>
          <w:bottom w:val="single" w:sz="8" w:color="FFFFFF" w:space="0"/>
          <w:right w:val="single" w:sz="8" w:color="FFFFFF" w:space="0"/>
          <w:insideH w:val="single" w:sz="8" w:color="FFFFFF" w:space="0"/>
          <w:insideV w:val="single" w:sz="8" w:color="FFFFFF" w:space="0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EAF2F8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30"/>
              </w:rPr>
              <w:t>634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 w:eastAsia="Microsoft YaHei"/>
                <w:b/>
                <w:color w:val="5B6573"/>
                <w:sz w:val="17"/>
              </w:rPr>
              <w:t>变更文件</w:t>
            </w:r>
          </w:p>
        </w:tc>
        <w:tc>
          <w:tcPr>
            <w:tcW w:type="dxa" w:w="2340"/>
            <w:shd w:fill="E8F4F1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1D7A6B"/>
                <w:sz w:val="24"/>
              </w:rPr>
              <w:t>+58,348 / -8,148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 w:eastAsia="Microsoft YaHei"/>
                <w:b/>
                <w:color w:val="5B6573"/>
                <w:sz w:val="17"/>
              </w:rPr>
              <w:t>代码变更</w:t>
            </w:r>
          </w:p>
        </w:tc>
        <w:tc>
          <w:tcPr>
            <w:tcW w:type="dxa" w:w="2340"/>
            <w:shd w:fill="FBF3E4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C9922E"/>
                <w:sz w:val="30"/>
              </w:rPr>
              <w:t>300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 w:eastAsia="Microsoft YaHei"/>
                <w:b/>
                <w:color w:val="5B6573"/>
                <w:sz w:val="17"/>
              </w:rPr>
              <w:t>自动化用例</w:t>
            </w:r>
          </w:p>
        </w:tc>
        <w:tc>
          <w:tcPr>
            <w:tcW w:type="dxa" w:w="234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30"/>
              </w:rPr>
              <w:t>29 / 12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 w:eastAsia="Microsoft YaHei"/>
                <w:b/>
                <w:color w:val="5B6573"/>
                <w:sz w:val="17"/>
              </w:rPr>
              <w:t>迁移 / 关键关系</w:t>
            </w:r>
          </w:p>
        </w:tc>
      </w:tr>
    </w:tbl>
    <w:p>
      <w:pPr>
        <w:spacing w:after="80"/>
      </w:pPr>
    </w:p>
    <w:p>
      <w:pPr>
        <w:pStyle w:val="Heading2"/>
      </w:pPr>
      <w:r>
        <w:t>本次升级带来的四个变化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安全能力从单次文本规则命中扩展到有界归一化、多轮会话、分步推理攻击、推理过程提取与跨模态联合证据。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接入形态从单一 Web/API 扩展到 REST、SSE、WebSocket、gRPC 与 Java/Python/Go/TypeScript SDK，并通过统一契约维持兼容。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处理链路从同步小文件扩展到分片上传、异步任务、OCR/VLM/ASR、音视频时间轴和内容标识，支持大文件的受控分析。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治理方式从功能可用扩展到租户隔离、审计链、可信时间、数据谱系、事件闭环、Helm 高可用模板与可追溯验收框架。</w:t>
      </w:r>
    </w:p>
    <w:p>
      <w:pPr>
        <w:pStyle w:val="Heading2"/>
      </w:pPr>
      <w:r>
        <w:t>完成度口径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8DEE8" w:space="0"/>
          <w:left w:val="single" w:sz="4" w:color="D8DEE8" w:space="0"/>
          <w:bottom w:val="single" w:sz="4" w:color="D8DEE8" w:space="0"/>
          <w:right w:val="single" w:sz="4" w:color="D8DEE8" w:space="0"/>
          <w:insideH w:val="single" w:sz="4" w:color="D8DEE8" w:space="0"/>
          <w:insideV w:val="single" w:sz="4" w:color="D8DEE8" w:space="0"/>
        </w:tblBorders>
      </w:tblPr>
      <w:tblGrid>
        <w:gridCol w:w="2200"/>
        <w:gridCol w:w="1200"/>
        <w:gridCol w:w="5960"/>
      </w:tblGrid>
      <w:tr>
        <w:trPr>
          <w:tblHeader w:val="true"/>
        </w:trPr>
        <w:tc>
          <w:tcPr>
            <w:tcW w:type="dxa" w:w="220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状态</w:t>
            </w:r>
          </w:p>
        </w:tc>
        <w:tc>
          <w:tcPr>
            <w:tcW w:type="dxa" w:w="120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数量</w:t>
            </w:r>
          </w:p>
        </w:tc>
        <w:tc>
          <w:tcPr>
            <w:tcW w:type="dxa" w:w="596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8"/>
              </w:rPr>
              <w:t>代码完成、待目标验收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22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代码及本地自动化具备，仍需真实依赖或目标环境 POC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C9922E"/>
                <w:sz w:val="18"/>
              </w:rPr>
              <w:t>部分实现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64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已有实现路径，但仍缺功能、模型校准、数据或外部集成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A1A1A"/>
                <w:sz w:val="18"/>
              </w:rPr>
              <w:t>仅验收框架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15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性能、可用性与安全测评脚本具备，尚无目标环境报告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A1A1A"/>
                <w:sz w:val="18"/>
              </w:rPr>
              <w:t>完全未实现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0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101 项均存在代码、测试或验收框架映射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A1A1A"/>
                <w:sz w:val="18"/>
              </w:rPr>
              <w:t>正式签名验收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0 / 101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尚未取得客户签名证据，不应表述为正式验收通过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pStyle w:val="Heading1"/>
      </w:pPr>
      <w:r>
        <w:t>1. 升级范围与总体变化</w:t>
      </w:r>
    </w:p>
    <w:p>
      <w:pPr>
        <w:spacing w:before="0" w:after="60"/>
      </w:pPr>
      <w:r>
        <w:rPr>
          <w:rFonts w:ascii="Calibri" w:hAnsi="Calibri" w:eastAsia="Microsoft YaHei"/>
          <w:b/>
          <w:color w:val="7A8491"/>
          <w:sz w:val="21"/>
        </w:rPr>
        <w:t xml:space="preserve">升级基线  </w:t>
      </w:r>
      <w:r>
        <w:rPr>
          <w:rFonts w:ascii="Calibri" w:hAnsi="Calibri" w:eastAsia="Microsoft YaHei"/>
          <w:color w:val="1A1A1A"/>
          <w:sz w:val="21"/>
        </w:rPr>
        <w:t>af45893（维度管理完善 + 敏感词库 / NeMo 规则导入工具）</w:t>
      </w:r>
    </w:p>
    <w:p>
      <w:pPr>
        <w:spacing w:before="0" w:after="60"/>
      </w:pPr>
      <w:r>
        <w:rPr>
          <w:rFonts w:ascii="Calibri" w:hAnsi="Calibri" w:eastAsia="Microsoft YaHei"/>
          <w:b/>
          <w:color w:val="7A8491"/>
          <w:sz w:val="21"/>
        </w:rPr>
        <w:t xml:space="preserve">平台升级  </w:t>
      </w:r>
      <w:r>
        <w:rPr>
          <w:rFonts w:ascii="Calibri" w:hAnsi="Calibri" w:eastAsia="Microsoft YaHei"/>
          <w:color w:val="1A1A1A"/>
          <w:sz w:val="21"/>
        </w:rPr>
        <w:t>6790142（企业级安全护栏平台）</w:t>
      </w:r>
    </w:p>
    <w:p>
      <w:pPr>
        <w:spacing w:before="0" w:after="60"/>
      </w:pPr>
      <w:r>
        <w:rPr>
          <w:rFonts w:ascii="Calibri" w:hAnsi="Calibri" w:eastAsia="Microsoft YaHei"/>
          <w:b/>
          <w:color w:val="7A8491"/>
          <w:sz w:val="21"/>
        </w:rPr>
        <w:t xml:space="preserve">检测增强  </w:t>
      </w:r>
      <w:r>
        <w:rPr>
          <w:rFonts w:ascii="Calibri" w:hAnsi="Calibri" w:eastAsia="Microsoft YaHei"/>
          <w:color w:val="1A1A1A"/>
          <w:sz w:val="21"/>
        </w:rPr>
        <w:t>41e3729（多模态与推理攻击检测）</w:t>
      </w:r>
    </w:p>
    <w:p>
      <w:pPr>
        <w:spacing w:before="0" w:after="60"/>
      </w:pPr>
      <w:r>
        <w:rPr>
          <w:rFonts w:ascii="Calibri" w:hAnsi="Calibri" w:eastAsia="Microsoft YaHei"/>
          <w:b/>
          <w:color w:val="7A8491"/>
          <w:sz w:val="21"/>
        </w:rPr>
        <w:t xml:space="preserve">累计规模  </w:t>
      </w:r>
      <w:r>
        <w:rPr>
          <w:rFonts w:ascii="Calibri" w:hAnsi="Calibri" w:eastAsia="Microsoft YaHei"/>
          <w:color w:val="1A1A1A"/>
          <w:sz w:val="21"/>
        </w:rPr>
        <w:t>634 个文件变更，新增 58,348 行，删除 8,148 行</w:t>
      </w:r>
    </w:p>
    <w:p>
      <w:pPr>
        <w:pStyle w:val="Heading2"/>
      </w:pPr>
      <w:r>
        <w:t>升级前后对比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8DEE8" w:space="0"/>
          <w:left w:val="single" w:sz="4" w:color="D8DEE8" w:space="0"/>
          <w:bottom w:val="single" w:sz="4" w:color="D8DEE8" w:space="0"/>
          <w:right w:val="single" w:sz="4" w:color="D8DEE8" w:space="0"/>
          <w:insideH w:val="single" w:sz="4" w:color="D8DEE8" w:space="0"/>
          <w:insideV w:val="single" w:sz="4" w:color="D8DEE8" w:space="0"/>
        </w:tblBorders>
      </w:tblPr>
      <w:tblGrid>
        <w:gridCol w:w="1540"/>
        <w:gridCol w:w="3100"/>
        <w:gridCol w:w="4720"/>
      </w:tblGrid>
      <w:tr>
        <w:trPr>
          <w:tblHeader w:val="true"/>
        </w:trPr>
        <w:tc>
          <w:tcPr>
            <w:tcW w:type="dxa" w:w="154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维度</w:t>
            </w:r>
          </w:p>
        </w:tc>
        <w:tc>
          <w:tcPr>
            <w:tcW w:type="dxa" w:w="310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升级前</w:t>
            </w:r>
          </w:p>
        </w:tc>
        <w:tc>
          <w:tcPr>
            <w:tcW w:type="dxa" w:w="472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升级后</w:t>
            </w:r>
          </w:p>
        </w:tc>
      </w:tr>
      <w:tr>
        <w:trPr>
          <w:cantSplit/>
        </w:trPr>
        <w:tc>
          <w:tcPr>
            <w:tcW w:type="dxa" w:w="1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检测范围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文本规则、关键词、基础 Judge</w:t>
            </w:r>
          </w:p>
        </w:tc>
        <w:tc>
          <w:tcPr>
            <w:tcW w:type="dxa" w:w="4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有界归一化、推理攻击、多轮会话、多模态与 RAG/Agent 联合检测</w:t>
            </w:r>
          </w:p>
        </w:tc>
      </w:tr>
      <w:tr>
        <w:trPr>
          <w:cantSplit/>
        </w:trPr>
        <w:tc>
          <w:tcPr>
            <w:tcW w:type="dxa" w:w="1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接入方式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Web 控制台与基础 API</w:t>
            </w:r>
          </w:p>
        </w:tc>
        <w:tc>
          <w:tcPr>
            <w:tcW w:type="dxa" w:w="4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REST / SSE / WebSocket / gRPC、旁路与四语言 SDK</w:t>
            </w:r>
          </w:p>
        </w:tc>
      </w:tr>
      <w:tr>
        <w:trPr>
          <w:cantSplit/>
        </w:trPr>
        <w:tc>
          <w:tcPr>
            <w:tcW w:type="dxa" w:w="1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媒体处理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文档/图片处理能力分散</w:t>
            </w:r>
          </w:p>
        </w:tc>
        <w:tc>
          <w:tcPr>
            <w:tcW w:type="dxa" w:w="4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分片上传、异步任务、多视图 OCR/VLM/ASR、音视频时间轴</w:t>
            </w:r>
          </w:p>
        </w:tc>
      </w:tr>
      <w:tr>
        <w:trPr>
          <w:cantSplit/>
        </w:trPr>
        <w:tc>
          <w:tcPr>
            <w:tcW w:type="dxa" w:w="1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策略治理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策略编辑与基础测试</w:t>
            </w:r>
          </w:p>
        </w:tc>
        <w:tc>
          <w:tcPr>
            <w:tcW w:type="dxa" w:w="4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签名策略包、审批分离、影子/灰度/激活/回滚、异步评测</w:t>
            </w:r>
          </w:p>
        </w:tc>
      </w:tr>
      <w:tr>
        <w:trPr>
          <w:cantSplit/>
        </w:trPr>
        <w:tc>
          <w:tcPr>
            <w:tcW w:type="dxa" w:w="1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数据安全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基础登录与数据表</w:t>
            </w:r>
          </w:p>
        </w:tc>
        <w:tc>
          <w:tcPr>
            <w:tcW w:type="dxa" w:w="4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租户/应用/主体隔离、审计链、可信时间、谱系与删除证明</w:t>
            </w:r>
          </w:p>
        </w:tc>
      </w:tr>
      <w:tr>
        <w:trPr>
          <w:cantSplit/>
        </w:trPr>
        <w:tc>
          <w:tcPr>
            <w:tcW w:type="dxa" w:w="1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生产交付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单体部署为主</w:t>
            </w:r>
          </w:p>
        </w:tc>
        <w:tc>
          <w:tcPr>
            <w:tcW w:type="dxa" w:w="4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Helm/Kustomize、网络隔离、mTLS、PDB/HPA、离线包与可观测性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目标架构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2" name="Picture 2" title="GuardLLM 升级架构" descr="业务应用通过 Guard Gateway 进入 GuardEngine V2，联动文本、推理、多模态、RAG 和工具安全模块，并由租户隔离、审计链、数据谱系和可观测性提供底层保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 升级后的统一安全数据面与治理底座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0" w:color="E8F4F1" w:space="0"/>
          <w:left w:val="single" w:sz="18" w:color="1D7A6B" w:space="0"/>
          <w:bottom w:val="single" w:sz="0" w:color="E8F4F1" w:space="0"/>
          <w:right w:val="single" w:sz="0" w:color="E8F4F1" w:space="0"/>
          <w:insideH w:val="single" w:sz="0" w:color="E8F4F1" w:space="0"/>
          <w:insideV w:val="single" w:sz="0" w:color="E8F4F1" w:space="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F4F1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</w:pPr>
            <w:r/>
            <w:r>
              <w:rPr>
                <w:rFonts w:ascii="Calibri" w:hAnsi="Calibri" w:eastAsia="Microsoft YaHei"/>
                <w:b/>
                <w:color w:val="1D7A6B"/>
                <w:sz w:val="21"/>
              </w:rPr>
              <w:t xml:space="preserve">安全边界  </w:t>
            </w:r>
            <w:r>
              <w:rPr>
                <w:rFonts w:ascii="Calibri" w:hAnsi="Calibri" w:eastAsia="Microsoft YaHei"/>
                <w:color w:val="1A1A1A"/>
                <w:sz w:val="21"/>
              </w:rPr>
              <w:t>模型调用前必须完成身份上下文校验、配额/并发控制和输入检测；流式内容在提交客户端前经过输出检测；必需检测器按策略 fail-closed，原始敏感内容不复制到安全事件。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</w:pPr>
      <w:r>
        <w:t>2. 功能升级清单</w:t>
      </w:r>
    </w:p>
    <w:p>
      <w:pPr>
        <w:spacing w:after="160"/>
      </w:pPr>
      <w:r>
        <w:t>以下清单按产品能力域归纳。标注“已完成”的项目表示代码与本地自动化已具备；涉及真实模型、企业平台或客户指标的项目仍需目标环境验收。</w:t>
      </w:r>
    </w:p>
    <w:p>
      <w:pPr>
        <w:pStyle w:val="Heading2"/>
      </w:pPr>
      <w:r>
        <w:t>2.1 统一安全接入与跨语言契约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安全网关支持 OpenAI 兼容 REST、SSE、WebSocket 与 gRPC，统一输入/输出检测、Trace 与错误语义。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请求上下文签名绑定租户、应用、主体、凭证、请求、会话和绝对截止时间，并支持 API Key/JWT/mTLS 边界。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支持模型权重路由、JSON Pointer 请求/响应字段映射、思考字段归一化和流式提交门。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Guard v1 由单一 Schema 生成 TypeScript、Java、Python、OpenAPI 与 Protobuf，CI 检查生成漂移和向后兼容。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提供 Java、Python、Go、TypeScript SDK；动态模型路由控制台和企业统一身份联调仍属于后续范围。</w:t>
      </w:r>
    </w:p>
    <w:p>
      <w:pPr>
        <w:pStyle w:val="Heading2"/>
      </w:pPr>
      <w:r>
        <w:t>2.2 GuardEngine V2 与推理攻击检测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有界归一化覆盖 NFKC、零宽字符、URL/HTML 实体、Base64/Base32/Hex、转义码点、Quoted-Printable、ROT13 与同形字符。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新增分步推理攻击检测：识别步骤序列、绕过方法、受保护目标、隐蔽手法和有害目标，并按多轮推进累计风险。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新增推理过程提取检测：识别中英文思维链、内部推理与草稿泄露请求，生成掩码预览和 HMAC 证据。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会话上下文不再因中间轮次提前退出而丢失后续证据，保留匿名步骤标识、累计分和最终阻断点。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内置 DLP、资源消耗攻击、保险收益保证/虚假理赔承诺/健康告知规避/条款弱化/高压营销等基线。</w:t>
      </w:r>
    </w:p>
    <w:p>
      <w:pPr>
        <w:pStyle w:val="Heading2"/>
      </w:pPr>
      <w:r>
        <w:t>2.3 图片、文档、音频与视频安全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图片/文档通过旋转、阈值、去噪等视图并行执行 OCR 和视觉分类，再将文本、视觉和用户上下文联合决策。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音频新增原始、降噪、响度归一化、0.9/1.1 倍速和反向探测视图；多视图 ASR 结果完成时间戳回映、去重和置信度过滤。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视频按固定间隔或时长自适应抽帧，对帧执行 OCR/视觉分析，并与音轨 ASR、声学异常和用户文本统一到时间轴。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跨模态融合按可配置时间窗口聚类；单模态低风险但联合意图升级时，输出 cooperativeAttack 及完整来源证据。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媒体分析器采用外部命令适配器接入 OCR/VLM/ASR/音频分类模型；生产召回率取决于目标模型与数据集，需 POC。</w:t>
      </w:r>
    </w:p>
    <w:p>
      <w:pPr>
        <w:pStyle w:val="Heading2"/>
      </w:pPr>
      <w:r>
        <w:t>2.4 RAG 与 Agent / 工具安全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知识入库记录来源、版本、切片、ACL、污染标记和扫描结论，检索结果可追溯原文档与片段。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区分系统指令、用户输入、检索上下文与工具返回的信任等级，阻止低信任内容覆盖高优先级安全规则。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工具调用执行白名单、参数 Schema、资源范围、频率与最小权限校验，高风险动作支持人工/双人审批。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工具返回结果再次进入检测链，降低间接注入、数据外传、凭证泄露与越权执行风险。</w:t>
      </w:r>
    </w:p>
    <w:p>
      <w:pPr>
        <w:pStyle w:val="Heading2"/>
      </w:pPr>
      <w:r>
        <w:t>2.5 策略发布、评测与运营闭环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策略包采用确定性编译、内容哈希与签名校验，支持草稿、测试、审批、影子、灰度、激活、回滚、撤回和归档。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发布控制台强制创建者与审批者分离并使用乐观锁，降低误发布和越权发布风险。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异步评测支持幂等提交、队列进度、失败重试、准确率/召回率/FPR/FNR/F1 与 badcase 查看。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安全事件支持责任人、SLA、状态机、证据详情与流转时间线；误报反馈到样本/规则/发布的闭环仍需完善。</w:t>
      </w:r>
    </w:p>
    <w:p>
      <w:pPr>
        <w:pStyle w:val="Heading2"/>
      </w:pPr>
      <w:r>
        <w:t>2.6 身份、租户、数据与审计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API 安全边界统一实施认证授权、CSRF、请求体限制、限流、响应 Schema、审计和安全错误返回。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数据库查询按租户/应用约束；密码策略、失败锁定、历史密码、过期与权限矩阵纳入自动化。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审计事件具备前序哈希、签名、追加写、独立验证与企业可信时间适配。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谱系覆盖模型输出、内容标识、媒体衍生物、文档图像和 RAG 来源/切片；清理生成 HMAC 删除证明。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企业 IdP/MFA、KMS/TSA、组织树和三员分立仍需客户平台联调。</w:t>
      </w:r>
    </w:p>
    <w:p>
      <w:pPr>
        <w:pStyle w:val="Heading2"/>
      </w:pPr>
      <w:r>
        <w:t>2.7 内容标识与开放治理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内容标识覆盖文本、图片、音频、视频的显式/隐式标识和一致性验证。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内容标识与输出检测、媒体衍生物和谱系协同，支持传播追踪与异常告警。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策略、告警、审计、评测与报表已形成开放 API 基础，完整联调仍需目标环境确认。</w:t>
      </w:r>
    </w:p>
    <w:p>
      <w:pPr>
        <w:pStyle w:val="Heading2"/>
      </w:pPr>
      <w:r>
        <w:t>2.8 部署、供应链与可观测性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Helm 将网关、控制面、媒体、推理、数据访问与可观测组件分域部署，提供 NetworkPolicy、mTLS、PDB、HPA、最小权限及 amd64/arm64 调度抽象；昇腾配置为模板而非互认证结论。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离线交付校验镜像摘要、Cosign、SBOM 与 SHA256SUMS；Prometheus、Grafana、OpenTelemetry、日志、Trace 和运行手册支撑故障定位与灾备。</w:t>
      </w:r>
    </w:p>
    <w:p>
      <w:r>
        <w:br w:type="page"/>
      </w:r>
    </w:p>
    <w:p>
      <w:pPr>
        <w:pStyle w:val="Heading1"/>
      </w:pPr>
      <w:r>
        <w:t>3. 性能、容量与工程质量清单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0" w:color="FBF3E4" w:space="0"/>
          <w:left w:val="single" w:sz="18" w:color="C9922E" w:space="0"/>
          <w:bottom w:val="single" w:sz="0" w:color="FBF3E4" w:space="0"/>
          <w:right w:val="single" w:sz="0" w:color="FBF3E4" w:space="0"/>
          <w:insideH w:val="single" w:sz="0" w:color="FBF3E4" w:space="0"/>
          <w:insideV w:val="single" w:sz="0" w:color="FBF3E4" w:space="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BF3E4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</w:pPr>
            <w:r/>
            <w:r>
              <w:rPr>
                <w:rFonts w:ascii="Calibri" w:hAnsi="Calibri" w:eastAsia="Microsoft YaHei"/>
                <w:b/>
                <w:color w:val="C9922E"/>
                <w:sz w:val="21"/>
              </w:rPr>
              <w:t xml:space="preserve">阅读口径  </w:t>
            </w:r>
            <w:r>
              <w:rPr>
                <w:rFonts w:ascii="Calibri" w:hAnsi="Calibri" w:eastAsia="Microsoft YaHei"/>
                <w:color w:val="1A1A1A"/>
                <w:sz w:val="21"/>
              </w:rPr>
              <w:t>“实现约束”表示代码已限制资源边界；“本轮实测”表示当前工作区可复现结果；“目标门槛”来自验收规范，必须在目标全策略环境取得不可变报告后才能判定通过。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3.1 已实现的容量与资源边界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8DEE8" w:space="0"/>
          <w:left w:val="single" w:sz="4" w:color="D8DEE8" w:space="0"/>
          <w:bottom w:val="single" w:sz="4" w:color="D8DEE8" w:space="0"/>
          <w:right w:val="single" w:sz="4" w:color="D8DEE8" w:space="0"/>
          <w:insideH w:val="single" w:sz="4" w:color="D8DEE8" w:space="0"/>
          <w:insideV w:val="single" w:sz="4" w:color="D8DEE8" w:space="0"/>
        </w:tblBorders>
      </w:tblPr>
      <w:tblGrid>
        <w:gridCol w:w="2200"/>
        <w:gridCol w:w="3100"/>
        <w:gridCol w:w="4060"/>
      </w:tblGrid>
      <w:tr>
        <w:trPr>
          <w:tblHeader w:val="true"/>
        </w:trPr>
        <w:tc>
          <w:tcPr>
            <w:tcW w:type="dxa" w:w="220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项目</w:t>
            </w:r>
          </w:p>
        </w:tc>
        <w:tc>
          <w:tcPr>
            <w:tcW w:type="dxa" w:w="310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实现值 / 默认值</w:t>
            </w:r>
          </w:p>
        </w:tc>
        <w:tc>
          <w:tcPr>
            <w:tcW w:type="dxa" w:w="406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产品作用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文本归一化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最多 24 个视图；解码深度 3；单视图 1,048,576 字符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限制编码炸弹与归一化放大，同时覆盖常见混淆变体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会话上下文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合同文本上限 1,048,576 字符；尾部窗口 4,096 字符；TTL 最长 7 天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保留多轮攻击轨迹并控制内存和会话状态膨胀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同步检测请求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Guard API 请求体 2 MiB；绝对截止时间最长 60 秒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防止超大同步请求拖垮在线数据面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对象分片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16 MiB / 片；租户默认总配额 10 GiB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支持大文件断点与异步校验，隔离单租户资源占用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文件类型上限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文本/图片 100 MiB；文档/音频 500 MiB；视频 3 GiB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将大文件转入对象存储和异步 Worker，避免 Web 进程整文件入内存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文档与视频采样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文档最多 5,000 页；视频最多 10,000 帧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在覆盖率与计算成本之间提供可配置上限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多模态批处理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默认 4；范围 1-64；最小置信度 0.35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控制模型并发和噪声证据进入融合链的比例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风险策略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复核阈值 0.65；阻断阈值 0.80；跨模态窗口 30 秒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按业务风险偏好平衡自动阻断、人工复核与成本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速率与并发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租户/应用/主体/凭证/API 多级配额与 Redis 原子租约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避免热点应用或故障客户端影响其他租户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3.2 本轮可复现工程结果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8DEE8" w:space="0"/>
          <w:left w:val="single" w:sz="4" w:color="D8DEE8" w:space="0"/>
          <w:bottom w:val="single" w:sz="4" w:color="D8DEE8" w:space="0"/>
          <w:right w:val="single" w:sz="4" w:color="D8DEE8" w:space="0"/>
          <w:insideH w:val="single" w:sz="4" w:color="D8DEE8" w:space="0"/>
          <w:insideV w:val="single" w:sz="4" w:color="D8DEE8" w:space="0"/>
        </w:tblBorders>
      </w:tblPr>
      <w:tblGrid>
        <w:gridCol w:w="2200"/>
        <w:gridCol w:w="2860"/>
        <w:gridCol w:w="4300"/>
      </w:tblGrid>
      <w:tr>
        <w:trPr>
          <w:tblHeader w:val="true"/>
        </w:trPr>
        <w:tc>
          <w:tcPr>
            <w:tcW w:type="dxa" w:w="220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验证项</w:t>
            </w:r>
          </w:p>
        </w:tc>
        <w:tc>
          <w:tcPr>
            <w:tcW w:type="dxa" w:w="286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结果</w:t>
            </w:r>
          </w:p>
        </w:tc>
        <w:tc>
          <w:tcPr>
            <w:tcW w:type="dxa" w:w="430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Vitest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7"/>
              </w:rPr>
              <w:t>76 个测试文件 / 300 个用例全部通过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覆盖 API 安全、检测、GuardEngine V2、多模态、审计、RAG、工具、部署等模块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整体覆盖率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A1A1A"/>
                <w:sz w:val="17"/>
              </w:rPr>
              <w:t>语句 27.51% / 分支 21.26% / 函数 25.38% / 行 27.72%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覆盖率仍偏低，主要空白位于 UI、路由编排和真实子进程集成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关键新增模块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A1A1A"/>
                <w:sz w:val="17"/>
              </w:rPr>
              <w:t>推理攻击行 95.31%；时序融合/检测策略/跨模态融合行 100%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本次新增的核心决策逻辑已获得针对性高覆盖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Media Analyzer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7"/>
              </w:rPr>
              <w:t>独立 ESM 构建通过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实际 OCR/VLM/ASR 命令链仍需目标模型端到端 POC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PostgreSQL 集成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7"/>
              </w:rPr>
              <w:t>29 个迁移；12 个关键关系；4 项检查通过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租户隔离、谱系约束和追加审计均通过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前后端 E2E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7"/>
              </w:rPr>
              <w:t>桌面/移动端共 10/10 通过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覆盖健康检查、登录、鉴权、导航、模型管理、会话与退出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Next.js 生产构建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7"/>
              </w:rPr>
              <w:t>通过，78 个路由完成生成/检查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验证 App Router 与生产打包可用性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3.3 目标环境性能门槛（尚未签名验收）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黑样本召回率与精准率均不低于 95%；2,000 条文本攻击拦截率不低于 99%。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2,000 条白样本误拦截率不高于 1%。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快速分类模型准确率不低于 98%、P99 不高于 200ms；主链路 P99 不高于 300ms（不含大模型推理）。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单节点不低于 20 QPS，集群不低于 200 QPS，持续 30 分钟错误率不高于 0.1%。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支持 3,000 并发会话和 300 管理控制台在线用户；CPU 峰值不高于 80%、内存峰值不高于 75%。</w:t>
      </w:r>
    </w:p>
    <w:p>
      <w:r>
        <w:br w:type="page"/>
      </w:r>
    </w:p>
    <w:p>
      <w:pPr>
        <w:pStyle w:val="Heading1"/>
      </w:pPr>
      <w:r>
        <w:t>4. 不同场景的产品价值</w:t>
      </w:r>
    </w:p>
    <w:p>
      <w:pPr>
        <w:spacing w:after="160"/>
      </w:pPr>
      <w:r>
        <w:t>同一套安全能力在不同业务中承担的角色不同：有的强调在线低延迟阻断，有的强调异步深度分析，有的强调可追溯与审批。以下矩阵把升级能力转换为产品、业务和交付价值。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8DEE8" w:space="0"/>
          <w:left w:val="single" w:sz="4" w:color="D8DEE8" w:space="0"/>
          <w:bottom w:val="single" w:sz="4" w:color="D8DEE8" w:space="0"/>
          <w:right w:val="single" w:sz="4" w:color="D8DEE8" w:space="0"/>
          <w:insideH w:val="single" w:sz="4" w:color="D8DEE8" w:space="0"/>
          <w:insideV w:val="single" w:sz="4" w:color="D8DEE8" w:space="0"/>
        </w:tblBorders>
      </w:tblPr>
      <w:tblGrid>
        <w:gridCol w:w="1350"/>
        <w:gridCol w:w="2240"/>
        <w:gridCol w:w="2900"/>
        <w:gridCol w:w="2870"/>
      </w:tblGrid>
      <w:tr>
        <w:trPr>
          <w:tblHeader w:val="true"/>
        </w:trPr>
        <w:tc>
          <w:tcPr>
            <w:tcW w:type="dxa" w:w="135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场景</w:t>
            </w:r>
          </w:p>
        </w:tc>
        <w:tc>
          <w:tcPr>
            <w:tcW w:type="dxa" w:w="224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典型风险</w:t>
            </w:r>
          </w:p>
        </w:tc>
        <w:tc>
          <w:tcPr>
            <w:tcW w:type="dxa" w:w="290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升级能力</w:t>
            </w:r>
          </w:p>
        </w:tc>
        <w:tc>
          <w:tcPr>
            <w:tcW w:type="dxa" w:w="287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带来的价值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6"/>
              </w:rPr>
              <w:t>AI API / 模型网关</w:t>
            </w:r>
          </w:p>
        </w:tc>
        <w:tc>
          <w:tcPr>
            <w:tcW w:type="dxa" w:w="2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6"/>
              </w:rPr>
              <w:t>接入协议不一、越权、流式内容绕检、突发流量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6"/>
              </w:rPr>
              <w:t>统一 REST/SSE/WS/gRPC、签名上下文、配额并发、流式提交门</w:t>
            </w:r>
          </w:p>
        </w:tc>
        <w:tc>
          <w:tcPr>
            <w:tcW w:type="dxa" w:w="2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6"/>
              </w:rPr>
              <w:t>业务无需重复建设护栏；可按应用切换策略，降低模型接入和审计成本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6"/>
              </w:rPr>
              <w:t>保险客服与销售助手</w:t>
            </w:r>
          </w:p>
        </w:tc>
        <w:tc>
          <w:tcPr>
            <w:tcW w:type="dxa" w:w="2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6"/>
              </w:rPr>
              <w:t>提示注入、收益夸大、虚假承诺、隐私泄露、错误拒答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6"/>
              </w:rPr>
              <w:t>推理攻击、保险合规基线、DLP、Judge、代答/复核动作</w:t>
            </w:r>
          </w:p>
        </w:tc>
        <w:tc>
          <w:tcPr>
            <w:tcW w:type="dxa" w:w="2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6"/>
              </w:rPr>
              <w:t>降低销售误导和客户信息泄露风险，同时把高风险回答稳定引导至人工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6"/>
              </w:rPr>
              <w:t>保单/理赔材料审核</w:t>
            </w:r>
          </w:p>
        </w:tc>
        <w:tc>
          <w:tcPr>
            <w:tcW w:type="dxa" w:w="2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6"/>
              </w:rPr>
              <w:t>文档、截图、扫描件中的隐私、隐藏指令或伪装内容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6"/>
              </w:rPr>
              <w:t>分片上传、多视图 OCR/VLM、文档页级证据、图文联合决策</w:t>
            </w:r>
          </w:p>
        </w:tc>
        <w:tc>
          <w:tcPr>
            <w:tcW w:type="dxa" w:w="2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6"/>
              </w:rPr>
              <w:t>让非结构化材料进入同一治理流程，提升证据定位、复核和批量处理能力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6"/>
              </w:rPr>
              <w:t>录音与视频质检</w:t>
            </w:r>
          </w:p>
        </w:tc>
        <w:tc>
          <w:tcPr>
            <w:tcW w:type="dxa" w:w="2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6"/>
              </w:rPr>
              <w:t>倍速、低音量、噪声、反向语音、闪帧和画音组合攻击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6"/>
              </w:rPr>
              <w:t>多视图 ASR、声学异常、视频抽帧、OCR/视觉、时序跨模态融合</w:t>
            </w:r>
          </w:p>
        </w:tc>
        <w:tc>
          <w:tcPr>
            <w:tcW w:type="dxa" w:w="2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6"/>
              </w:rPr>
              <w:t>从“只看转写文本”升级为画面、字幕、音轨的联合安全判断，支持时间戳回放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6"/>
              </w:rPr>
              <w:t>企业知识库 / RAG</w:t>
            </w:r>
          </w:p>
        </w:tc>
        <w:tc>
          <w:tcPr>
            <w:tcW w:type="dxa" w:w="2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6"/>
              </w:rPr>
              <w:t>恶意文档注入、来源不可追溯、越权检索、低信任内容改写系统规则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6"/>
              </w:rPr>
              <w:t>入库扫描、来源版本、ACL、污染标记、信任边界与检索审计</w:t>
            </w:r>
          </w:p>
        </w:tc>
        <w:tc>
          <w:tcPr>
            <w:tcW w:type="dxa" w:w="2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6"/>
              </w:rPr>
              <w:t>减少知识污染和间接注入；问题可回溯到原文档与片段，便于纠错和问责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6"/>
              </w:rPr>
              <w:t>Agent 与自动化工具</w:t>
            </w:r>
          </w:p>
        </w:tc>
        <w:tc>
          <w:tcPr>
            <w:tcW w:type="dxa" w:w="2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6"/>
              </w:rPr>
              <w:t>越权调用、参数注入、跨租户访问、数据外发或高风险动作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6"/>
              </w:rPr>
              <w:t>工具白名单、Schema、资源范围、审批令牌、返回结果复检</w:t>
            </w:r>
          </w:p>
        </w:tc>
        <w:tc>
          <w:tcPr>
            <w:tcW w:type="dxa" w:w="2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6"/>
              </w:rPr>
              <w:t>把“模型建议”与“真实执行”隔离，高风险动作可控、可审、可追踪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6"/>
              </w:rPr>
              <w:t>安全运营与合规审计</w:t>
            </w:r>
          </w:p>
        </w:tc>
        <w:tc>
          <w:tcPr>
            <w:tcW w:type="dxa" w:w="2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6"/>
              </w:rPr>
              <w:t>告警碎片化、证据不足、日志可篡改、无法重建全链路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6"/>
              </w:rPr>
              <w:t>检测会话/发现项/事件事务、SLA、审计链、可信时间、Trace 与报表</w:t>
            </w:r>
          </w:p>
        </w:tc>
        <w:tc>
          <w:tcPr>
            <w:tcW w:type="dxa" w:w="2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6"/>
              </w:rPr>
              <w:t>从单点命中升级为事件闭环，提升研判效率并为内审、等保和取证提供基础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6"/>
              </w:rPr>
              <w:t>私有化与信创交付</w:t>
            </w:r>
          </w:p>
        </w:tc>
        <w:tc>
          <w:tcPr>
            <w:tcW w:type="dxa" w:w="2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6"/>
              </w:rPr>
              <w:t>离线环境、组件异构、镜像来源、跨域网络和硬件差异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6"/>
              </w:rPr>
              <w:t>Helm/Kustomize、mTLS、镜像摘要、SBOM、离线包、多架构与调度抽象</w:t>
            </w:r>
          </w:p>
        </w:tc>
        <w:tc>
          <w:tcPr>
            <w:tcW w:type="dxa" w:w="2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6"/>
              </w:rPr>
              <w:t>降低交付重复劳动，提升环境一致性和供应链可追溯性，为国产化适配保留接口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场景化组合建议</w:t>
      </w:r>
    </w:p>
    <w:p>
      <w:pPr>
        <w:spacing w:before="0" w:after="100"/>
      </w:pPr>
      <w:r>
        <w:rPr>
          <w:rFonts w:ascii="Calibri" w:hAnsi="Calibri" w:eastAsia="Microsoft YaHei"/>
          <w:b/>
          <w:color w:val="7A8491"/>
          <w:sz w:val="21"/>
        </w:rPr>
        <w:t xml:space="preserve">在线低延迟  </w:t>
      </w:r>
      <w:r>
        <w:rPr>
          <w:rFonts w:ascii="Calibri" w:hAnsi="Calibri" w:eastAsia="Microsoft YaHei"/>
          <w:color w:val="1A1A1A"/>
          <w:sz w:val="21"/>
        </w:rPr>
        <w:t>网关 + 快速规则/模型 + 流式门 + DLP；大文件和深度多模态转异步。</w:t>
      </w:r>
    </w:p>
    <w:p>
      <w:pPr>
        <w:spacing w:before="0" w:after="100"/>
      </w:pPr>
      <w:r>
        <w:rPr>
          <w:rFonts w:ascii="Calibri" w:hAnsi="Calibri" w:eastAsia="Microsoft YaHei"/>
          <w:b/>
          <w:color w:val="7A8491"/>
          <w:sz w:val="21"/>
        </w:rPr>
        <w:t xml:space="preserve">高风险保险问答  </w:t>
      </w:r>
      <w:r>
        <w:rPr>
          <w:rFonts w:ascii="Calibri" w:hAnsi="Calibri" w:eastAsia="Microsoft YaHei"/>
          <w:color w:val="1A1A1A"/>
          <w:sz w:val="21"/>
        </w:rPr>
        <w:t>输入检测 + 推理攻击 + 保险规则 + 依据核验 + Judge + 人工复核。</w:t>
      </w:r>
    </w:p>
    <w:p>
      <w:pPr>
        <w:spacing w:before="0" w:after="100"/>
      </w:pPr>
      <w:r>
        <w:rPr>
          <w:rFonts w:ascii="Calibri" w:hAnsi="Calibri" w:eastAsia="Microsoft YaHei"/>
          <w:b/>
          <w:color w:val="7A8491"/>
          <w:sz w:val="21"/>
        </w:rPr>
        <w:t xml:space="preserve">异步材料审查  </w:t>
      </w:r>
      <w:r>
        <w:rPr>
          <w:rFonts w:ascii="Calibri" w:hAnsi="Calibri" w:eastAsia="Microsoft YaHei"/>
          <w:color w:val="1A1A1A"/>
          <w:sz w:val="21"/>
        </w:rPr>
        <w:t>对象分片 + 内容校验 + OCR/VLM/ASR + 跨模态融合 + 事件/证据导出。</w:t>
      </w:r>
    </w:p>
    <w:p>
      <w:pPr>
        <w:spacing w:before="0" w:after="100"/>
      </w:pPr>
      <w:r>
        <w:rPr>
          <w:rFonts w:ascii="Calibri" w:hAnsi="Calibri" w:eastAsia="Microsoft YaHei"/>
          <w:b/>
          <w:color w:val="7A8491"/>
          <w:sz w:val="21"/>
        </w:rPr>
        <w:t xml:space="preserve">Agent 执行  </w:t>
      </w:r>
      <w:r>
        <w:rPr>
          <w:rFonts w:ascii="Calibri" w:hAnsi="Calibri" w:eastAsia="Microsoft YaHei"/>
          <w:color w:val="1A1A1A"/>
          <w:sz w:val="21"/>
        </w:rPr>
        <w:t>RAG 信任边界 + 工具许可 + 高风险审批 + 结果复检 + 全链路审计。</w:t>
      </w:r>
    </w:p>
    <w:p>
      <w:r>
        <w:br w:type="page"/>
      </w:r>
    </w:p>
    <w:p>
      <w:pPr>
        <w:pStyle w:val="Heading1"/>
      </w:pPr>
      <w:r>
        <w:t>5. 验证证据与质量结论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0" w:color="E8F4F1" w:space="0"/>
          <w:left w:val="single" w:sz="18" w:color="1D7A6B" w:space="0"/>
          <w:bottom w:val="single" w:sz="0" w:color="E8F4F1" w:space="0"/>
          <w:right w:val="single" w:sz="0" w:color="E8F4F1" w:space="0"/>
          <w:insideH w:val="single" w:sz="0" w:color="E8F4F1" w:space="0"/>
          <w:insideV w:val="single" w:sz="0" w:color="E8F4F1" w:space="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F4F1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</w:pPr>
            <w:r/>
            <w:r>
              <w:rPr>
                <w:rFonts w:ascii="Calibri" w:hAnsi="Calibri" w:eastAsia="Microsoft YaHei"/>
                <w:b/>
                <w:color w:val="1D7A6B"/>
                <w:sz w:val="21"/>
              </w:rPr>
              <w:t xml:space="preserve">验证结论  </w:t>
            </w:r>
            <w:r>
              <w:rPr>
                <w:rFonts w:ascii="Calibri" w:hAnsi="Calibri" w:eastAsia="Microsoft YaHei"/>
                <w:color w:val="1A1A1A"/>
                <w:sz w:val="21"/>
              </w:rPr>
              <w:t>本次本地自动化、构建、数据库集成与前后端人工流程模拟均已通过；它们证明代码质量与联通性，但不能替代目标模型效果、真实流量性能、生产高可用和客户签名验收。</w:t>
            </w:r>
          </w:p>
        </w:tc>
      </w:tr>
    </w:tbl>
    <w:p>
      <w:pPr>
        <w:spacing w:before="0"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8DEE8" w:space="0"/>
          <w:left w:val="single" w:sz="4" w:color="D8DEE8" w:space="0"/>
          <w:bottom w:val="single" w:sz="4" w:color="D8DEE8" w:space="0"/>
          <w:right w:val="single" w:sz="4" w:color="D8DEE8" w:space="0"/>
          <w:insideH w:val="single" w:sz="4" w:color="D8DEE8" w:space="0"/>
          <w:insideV w:val="single" w:sz="4" w:color="D8DEE8" w:space="0"/>
        </w:tblBorders>
      </w:tblPr>
      <w:tblGrid>
        <w:gridCol w:w="2040"/>
        <w:gridCol w:w="3100"/>
        <w:gridCol w:w="4220"/>
      </w:tblGrid>
      <w:tr>
        <w:trPr>
          <w:tblHeader w:val="true"/>
        </w:trPr>
        <w:tc>
          <w:tcPr>
            <w:tcW w:type="dxa" w:w="204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证据类别</w:t>
            </w:r>
          </w:p>
        </w:tc>
        <w:tc>
          <w:tcPr>
            <w:tcW w:type="dxa" w:w="310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当前结果</w:t>
            </w:r>
          </w:p>
        </w:tc>
        <w:tc>
          <w:tcPr>
            <w:tcW w:type="dxa" w:w="422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证据或命令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契约与兼容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8"/>
              </w:rPr>
              <w:t>通过</w:t>
            </w:r>
          </w:p>
        </w:tc>
        <w:tc>
          <w:tcPr>
            <w:tcW w:type="dxa" w:w="4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pnpm contracts:check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TypeScript / ESLint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8"/>
              </w:rPr>
              <w:t>通过</w:t>
            </w:r>
          </w:p>
        </w:tc>
        <w:tc>
          <w:tcPr>
            <w:tcW w:type="dxa" w:w="4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pnpm validate / pnpm lint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单元与覆盖率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8"/>
              </w:rPr>
              <w:t>76 文件、300 用例通过</w:t>
            </w:r>
          </w:p>
        </w:tc>
        <w:tc>
          <w:tcPr>
            <w:tcW w:type="dxa" w:w="4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pnpm test:coverage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生产构建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8"/>
              </w:rPr>
              <w:t>Next.js 与 Media Analyzer 均通过</w:t>
            </w:r>
          </w:p>
        </w:tc>
        <w:tc>
          <w:tcPr>
            <w:tcW w:type="dxa" w:w="4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pnpm build / pnpm analyzer:build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数据库集成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8"/>
              </w:rPr>
              <w:t>PASS：29 迁移、12 关系、租户/谱系/审计通过</w:t>
            </w:r>
          </w:p>
        </w:tc>
        <w:tc>
          <w:tcPr>
            <w:tcW w:type="dxa" w:w="4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pnpm test:integration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前后端联通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8"/>
              </w:rPr>
              <w:t>Playwright 10/10，通过桌面与移动端人工流程模拟</w:t>
            </w:r>
          </w:p>
        </w:tc>
        <w:tc>
          <w:tcPr>
            <w:tcW w:type="dxa" w:w="4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pnpm test:e2e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SDK 基线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8"/>
              </w:rPr>
              <w:t>Python 3 项通过；Java/Go 在平台基线验证通过</w:t>
            </w:r>
          </w:p>
        </w:tc>
        <w:tc>
          <w:tcPr>
            <w:tcW w:type="dxa" w:w="4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test:sdk-python / Maven / Go 基线报告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需求追溯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A1A1A"/>
                <w:sz w:val="18"/>
              </w:rPr>
              <w:t>101/101 路径有效；0 项正式签名验收</w:t>
            </w:r>
          </w:p>
        </w:tc>
        <w:tc>
          <w:tcPr>
            <w:tcW w:type="dxa" w:w="4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8"/>
              </w:rPr>
              <w:t>acceptance/generated/coverage-audit.json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覆盖率解读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整体行覆盖率 27.72% 说明仓库仍有大量 UI、路由编排、数据库服务和真实子进程链未被单元测试直接执行。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本次新增的推理攻击检测、时序融合、跨模态融合和策略加载具有 95%-100% 的行覆盖率，核心决策逻辑风险得到重点控制。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Media Analyzer 的 audio-video.ts 行覆盖率为 14.28%，原因是 FFmpeg、OCR/VLM/ASR 真实命令集成不适合用纯单元测试替代；应以容器化 POC 补齐。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前后端 E2E 与数据库集成覆盖了单元测试缺失的主要用户路径和持久化约束，但仍需继续提高路由与 UI 自动化覆盖。</w:t>
      </w:r>
    </w:p>
    <w:p>
      <w:pPr>
        <w:pStyle w:val="Heading1"/>
      </w:pPr>
      <w:r>
        <w:t>6. 已知边界与未关闭事项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8DEE8" w:space="0"/>
          <w:left w:val="single" w:sz="4" w:color="D8DEE8" w:space="0"/>
          <w:bottom w:val="single" w:sz="4" w:color="D8DEE8" w:space="0"/>
          <w:right w:val="single" w:sz="4" w:color="D8DEE8" w:space="0"/>
          <w:insideH w:val="single" w:sz="4" w:color="D8DEE8" w:space="0"/>
          <w:insideV w:val="single" w:sz="4" w:color="D8DEE8" w:space="0"/>
        </w:tblBorders>
      </w:tblPr>
      <w:tblGrid>
        <w:gridCol w:w="2040"/>
        <w:gridCol w:w="3520"/>
        <w:gridCol w:w="3800"/>
      </w:tblGrid>
      <w:tr>
        <w:trPr>
          <w:tblHeader w:val="true"/>
        </w:trPr>
        <w:tc>
          <w:tcPr>
            <w:tcW w:type="dxa" w:w="204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边界</w:t>
            </w:r>
          </w:p>
        </w:tc>
        <w:tc>
          <w:tcPr>
            <w:tcW w:type="dxa" w:w="352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当前状态</w:t>
            </w:r>
          </w:p>
        </w:tc>
        <w:tc>
          <w:tcPr>
            <w:tcW w:type="dxa" w:w="380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关闭条件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多模态模型效果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7"/>
              </w:rPr>
              <w:t>适配器、视图、时间轴和融合完成；目标模型未签名验收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接入客户 OCR/VLM/ASR/音频模型，执行扰动、画音组合和格式专项 POC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检测效果指标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7"/>
              </w:rPr>
              <w:t>2,000 黑/白样本评分框架完成，无客户数据结果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冻结数据集哈希与标注，执行盲测并提交签名报告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性能与长稳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C9922E"/>
                <w:sz w:val="17"/>
              </w:rPr>
              <w:t>k6 脚本和阈值已定义，无目标全策略压测报告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在生产同构环境完成 P99、QPS、并发、资源和 72 小时长稳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企业安全平台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A1A1A"/>
                <w:sz w:val="17"/>
              </w:rPr>
              <w:t>接口与适配边界具备，IdP/KMS/TSA/SOC 等未联调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取得地址、证书、凭据与责任人，完成失败补偿和权限隔离测试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高可用与灾备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C9922E"/>
                <w:sz w:val="17"/>
              </w:rPr>
              <w:t>Helm/运行手册/拓扑模板具备，未做目标环境故障注入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执行节点/依赖故障、恢复演练与 RPO/RTO 证据签名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信创互认证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A1A1A"/>
                <w:sz w:val="17"/>
              </w:rPr>
              <w:t>多架构和调度抽象具备，昇腾覆盖文件为模板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在指定 CPU/NPU/OS/数据库组合完成安装、性能和互换 POC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正式验收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C9922E"/>
                <w:sz w:val="17"/>
              </w:rPr>
              <w:t>101 项均待签名证据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按需求逐项归档原始日志、Trace、配置摘要和客户签名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7. 建议上线与价值验证路径</w:t>
      </w:r>
    </w:p>
    <w:p>
      <w:pPr>
        <w:numPr>
          <w:ilvl w:val="0"/>
          <w:numId w:val="81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内部灰度：选择 1-2 个低风险应用，启用只审计/告警模式，建立误报、漏报、人工复核和成本基线。</w:t>
      </w:r>
    </w:p>
    <w:p>
      <w:pPr>
        <w:numPr>
          <w:ilvl w:val="0"/>
          <w:numId w:val="81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目标联调：接入企业 IdP/KMS/TSA、真实 OCR/VLM/ASR、模型网关、RAG 与 Agent，关闭接口和数据边界缺口。</w:t>
      </w:r>
    </w:p>
    <w:p>
      <w:pPr>
        <w:numPr>
          <w:ilvl w:val="0"/>
          <w:numId w:val="81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效果与性能验收：冻结黑白样本、策略和模型版本，执行检测效果、P99、QPS、并发、资源、长稳和故障注入。</w:t>
      </w:r>
    </w:p>
    <w:p>
      <w:pPr>
        <w:numPr>
          <w:ilvl w:val="0"/>
          <w:numId w:val="81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分级生产：先启用高置信度阻断，再按业务线扩大策略；对保险高风险回答和工具执行保持人工复核与审批。</w:t>
      </w:r>
    </w:p>
    <w:p>
      <w:pPr>
        <w:pStyle w:val="Heading2"/>
      </w:pPr>
      <w:r>
        <w:t>建议持续跟踪的产品指标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安全效果：攻击拦截率、召回率、精准率、白样本误拦率、跨模态协同攻击检出率。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用户体验：P50/P95/P99 附加时延、人工复核等待时间、拒答率、代答采用率。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运营效率：事件自动归并率、SLA 达成率、平均研判时间、误报反馈到策略发布的周期。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资源成本：每千次文本检测成本、每分钟音视频分析成本、队列等待、模型并发和批处理利用率。</w:t>
      </w:r>
    </w:p>
    <w:p>
      <w:pPr>
        <w:numPr>
          <w:ilvl w:val="0"/>
          <w:numId w:val="80"/>
        </w:numPr>
        <w:spacing w:before="0" w:after="160" w:line="280" w:lineRule="auto"/>
      </w:pPr>
      <w:r>
        <w:rPr>
          <w:rFonts w:ascii="Calibri" w:hAnsi="Calibri" w:eastAsia="Microsoft YaHei"/>
          <w:color w:val="1A1A1A"/>
          <w:sz w:val="22"/>
        </w:rPr>
        <w:t>治理成熟度：策略审批/回滚成功率、审计链验证率、删除证明覆盖率、需求签名验收完成率。</w:t>
      </w:r>
    </w:p>
    <w:p>
      <w:pPr>
        <w:pStyle w:val="Heading1"/>
      </w:pPr>
      <w:r>
        <w:t>附录 A  升级功能总清单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8DEE8" w:space="0"/>
          <w:left w:val="single" w:sz="4" w:color="D8DEE8" w:space="0"/>
          <w:bottom w:val="single" w:sz="4" w:color="D8DEE8" w:space="0"/>
          <w:right w:val="single" w:sz="4" w:color="D8DEE8" w:space="0"/>
          <w:insideH w:val="single" w:sz="4" w:color="D8DEE8" w:space="0"/>
          <w:insideV w:val="single" w:sz="4" w:color="D8DEE8" w:space="0"/>
        </w:tblBorders>
      </w:tblPr>
      <w:tblGrid>
        <w:gridCol w:w="900"/>
        <w:gridCol w:w="1200"/>
        <w:gridCol w:w="4360"/>
        <w:gridCol w:w="2900"/>
      </w:tblGrid>
      <w:tr>
        <w:trPr>
          <w:tblHeader w:val="true"/>
        </w:trPr>
        <w:tc>
          <w:tcPr>
            <w:tcW w:type="dxa" w:w="90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编号</w:t>
            </w:r>
          </w:p>
        </w:tc>
        <w:tc>
          <w:tcPr>
            <w:tcW w:type="dxa" w:w="120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能力域</w:t>
            </w:r>
          </w:p>
        </w:tc>
        <w:tc>
          <w:tcPr>
            <w:tcW w:type="dxa" w:w="436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升级项</w:t>
            </w:r>
          </w:p>
        </w:tc>
        <w:tc>
          <w:tcPr>
            <w:tcW w:type="dxa" w:w="290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F-01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接入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REST / SSE / WebSocket / gRPC 统一网关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7"/>
              </w:rPr>
              <w:t>已完成，待目标网络 POC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F-02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接入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签名请求上下文、配额与分布式并发租约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7"/>
              </w:rPr>
              <w:t>已完成，待 Redis/身份 POC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F-03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契约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Guard v1 五种生成物与向后兼容门禁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7"/>
              </w:rPr>
              <w:t>已完成并通过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F-04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SDK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Java / Python / Go / TypeScript SDK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7"/>
              </w:rPr>
              <w:t>已完成，待客户集成 POC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F-05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检测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有界多视图归一化与提示攻击检测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7"/>
              </w:rPr>
              <w:t>已完成并覆盖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F-06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检测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分步推理攻击与推理过程提取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7"/>
              </w:rPr>
              <w:t>已完成并覆盖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F-07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检测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多轮累计风险、步骤证据和阻断点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7"/>
              </w:rPr>
              <w:t>已完成并覆盖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F-08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行业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结构化 DLP、资源滥用与保险合规基线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7"/>
              </w:rPr>
              <w:t>基线完成，需数据校准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F-09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图片/文档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多视图 OCR/VLM、图文联合决策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7"/>
              </w:rPr>
              <w:t>链路完成，需目标模型 POC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F-10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音频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多视图 ASR、声学异常、时间戳回映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7"/>
              </w:rPr>
              <w:t>链路完成，需目标模型 POC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F-11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视频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抽帧、OCR/视觉、音轨与时间轴融合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7"/>
              </w:rPr>
              <w:t>链路完成，需目标模型 POC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F-12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多模态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批次、抽帧、置信度、复核/阻断与时间窗策略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7"/>
              </w:rPr>
              <w:t>已完成并覆盖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F-13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RAG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来源、版本、ACL、污染标记和检索审计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7"/>
              </w:rPr>
              <w:t>已完成，待真实 RAG POC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F-14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Agent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工具白名单、Schema、资源范围、审批与结果复检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7"/>
              </w:rPr>
              <w:t>已完成，待真实 Agent POC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F-15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策略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签名策略包、审批分离、影子/灰度/回滚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7"/>
              </w:rPr>
              <w:t>核心完成，部分产品功能待完善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F-16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评测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异步评测、指标、重试与 badcase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7"/>
              </w:rPr>
              <w:t>核心完成，标准报告待完善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F-17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运营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事件 SLA、责任人、状态机与时间线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7"/>
              </w:rPr>
              <w:t>已完成，聚合/反馈闭环待完善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F-18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审计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哈希链、追加写、可信时间与独立验证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7"/>
              </w:rPr>
              <w:t>已完成，待企业 TSA/SOC POC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F-19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数据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租户隔离、谱系、保留与删除证明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7"/>
              </w:rPr>
              <w:t>核心完成，外部存储闭环待完善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F-20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标识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文本/图片/音频/视频显式与隐式内容标识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7"/>
              </w:rPr>
              <w:t>已完成，待媒体 POC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F-21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部署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Helm/Kustomize、mTLS、NetworkPolicy、PDB/HPA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7"/>
              </w:rPr>
              <w:t>模板完成，待目标 K8s POC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F-22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供应链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离线包、镜像摘要、Cosign、SBOM、多架构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7"/>
              </w:rPr>
              <w:t>流程完成，待交付环境验证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F-23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可观测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指标、日志、Trace、Grafana 与告警规则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7"/>
              </w:rPr>
              <w:t>已完成，待环境 POC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F-24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控制台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A1A1A"/>
                <w:sz w:val="17"/>
              </w:rPr>
              <w:t>策略、评测、事件、文档、历史与模型管理页面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D7A6B"/>
                <w:sz w:val="17"/>
              </w:rPr>
              <w:t>主要路径 E2E 通过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附录 B  编制依据</w:t>
      </w:r>
    </w:p>
    <w:p>
      <w:pPr>
        <w:pStyle w:val="CodeReference"/>
      </w:pPr>
      <w:r>
        <w:t>Git 版本范围：af45893..41e3729；平台升级提交 6790142；检测增强提交 41e3729。</w:t>
      </w:r>
    </w:p>
    <w:p>
      <w:pPr>
        <w:pStyle w:val="CodeReference"/>
      </w:pPr>
      <w:r>
        <w:t>机器验收口径：acceptance/generated/coverage-audit.json、acceptance/poc-manifest.json、acceptance/performance-requirements.json。</w:t>
      </w:r>
    </w:p>
    <w:p>
      <w:pPr>
        <w:pStyle w:val="CodeReference"/>
      </w:pPr>
      <w:r>
        <w:t>研发状态报告：输出/代码分析与升级/10_研发执行与验收状态报告_V1.1.md。</w:t>
      </w:r>
    </w:p>
    <w:p>
      <w:pPr>
        <w:pStyle w:val="CodeReference"/>
      </w:pPr>
      <w:r>
        <w:t>关键实现：src/lib/guard-engine-v2、src/lib/multimodal、src/lib/media、services/media-analyzer、services/guard-gateway。</w:t>
      </w:r>
    </w:p>
    <w:p>
      <w:pPr>
        <w:pStyle w:val="CodeReference"/>
      </w:pPr>
      <w:r>
        <w:t>生产交付：deploy/、docs/runbooks/、packages/contracts/、packages/sdk-*。</w:t>
      </w:r>
    </w:p>
    <w:p>
      <w:pPr>
        <w:pStyle w:val="CodeReference"/>
      </w:pPr>
      <w:r>
        <w:t>本轮复测：pnpm test:coverage、pnpm analyzer:build、pnpm test:integration；生产构建与 E2E 采用同一代码基线的本轮结果。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0" w:color="FBF3E4" w:space="0"/>
          <w:left w:val="single" w:sz="18" w:color="C9922E" w:space="0"/>
          <w:bottom w:val="single" w:sz="0" w:color="FBF3E4" w:space="0"/>
          <w:right w:val="single" w:sz="0" w:color="FBF3E4" w:space="0"/>
          <w:insideH w:val="single" w:sz="0" w:color="FBF3E4" w:space="0"/>
          <w:insideV w:val="single" w:sz="0" w:color="FBF3E4" w:space="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BF3E4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9" w:lineRule="auto"/>
            </w:pPr>
            <w:r/>
            <w:r>
              <w:rPr>
                <w:rFonts w:ascii="Calibri" w:hAnsi="Calibri" w:eastAsia="Microsoft YaHei"/>
                <w:b/>
                <w:color w:val="C9922E"/>
                <w:sz w:val="21"/>
              </w:rPr>
              <w:t xml:space="preserve">最终说明  </w:t>
            </w:r>
            <w:r>
              <w:rPr>
                <w:rFonts w:ascii="Calibri" w:hAnsi="Calibri" w:eastAsia="Microsoft YaHei"/>
                <w:color w:val="1A1A1A"/>
                <w:sz w:val="21"/>
              </w:rPr>
              <w:t>本报告总结的是当前代码基线已形成的产品能力与工程证据。任何效果、性能、可用性、安全测评或信创互认证结论，只有在目标环境取得不可变报告并由客户签名后，才应升级为“正式验收通过”。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Calibri" w:hAnsi="Calibri" w:eastAsia="Microsoft YaHei"/>
        <w:color w:val="7A8491"/>
        <w:sz w:val="17"/>
      </w:rPr>
      <w:t xml:space="preserve">内部版本总结  ·  第 </w:t>
    </w:r>
    <w:r>
      <w:rPr>
        <w:rFonts w:ascii="Calibri" w:hAnsi="Calibri" w:eastAsia="Microsoft YaHei"/>
        <w:color w:val="7A8491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7A8491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before="0" w:after="0"/>
    </w:pPr>
    <w:r/>
    <w:r>
      <w:rPr>
        <w:rFonts w:ascii="Calibri" w:hAnsi="Calibri" w:eastAsia="Microsoft YaHei"/>
        <w:b/>
        <w:color w:val="7A8491"/>
        <w:sz w:val="17"/>
      </w:rPr>
      <w:t>GuardLLM 大版本升级总结</w:t>
    </w:r>
    <w:r>
      <w:rPr>
        <w:rFonts w:ascii="Calibri" w:hAnsi="Calibri" w:eastAsia="Microsoft YaHei"/>
        <w:color w:val="7A8491"/>
        <w:sz w:val="17"/>
      </w:rPr>
      <w:tab/>
      <w:t>代码基线 main@41e3729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before="0" w:after="160" w:line="280" w:lineRule="auto"/>
      </w:pPr>
      <w:rPr>
        <w:rFonts w:ascii="Arial" w:hAnsi="Arial"/>
      </w:rPr>
    </w:lvl>
  </w:abstractNum>
  <w:num w:numId="80">
    <w:abstractNumId w:val="80"/>
  </w:num>
  <w:abstractNum w:abstractNumId="8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160" w:line="280" w:lineRule="auto"/>
      </w:pPr>
    </w:lvl>
  </w:abstractNum>
  <w:num w:numId="81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 w:eastAsia="Microsoft YaHei"/>
      <w:b w:val="0"/>
      <w:i w:val="0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5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i w:val="0"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 w:line="276" w:lineRule="auto"/>
    </w:pPr>
    <w:rPr>
      <w:rFonts w:asciiTheme="majorHAnsi" w:eastAsiaTheme="majorEastAsia" w:hAnsiTheme="majorHAnsi" w:cstheme="majorBidi" w:ascii="Calibri" w:hAnsi="Calibri" w:eastAsia="Microsoft YaHei"/>
      <w:b w:val="0"/>
      <w:i w:val="0"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Calibri" w:hAnsi="Calibri" w:eastAsia="Microsoft YaHei"/>
      <w:b w:val="0"/>
      <w:bCs/>
      <w:i/>
      <w:color w:val="7A849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/>
    </w:pPr>
    <w:rPr>
      <w:rFonts w:ascii="Calibri" w:hAnsi="Calibri" w:eastAsia="Microsoft YaHei"/>
      <w:b w:val="0"/>
      <w:i/>
      <w:color w:val="7A8491"/>
      <w:sz w:val="18"/>
    </w:rPr>
  </w:style>
  <w:style w:type="paragraph" w:customStyle="1" w:styleId="CodeReference">
    <w:name w:val="Code Reference"/>
    <w:pPr>
      <w:spacing w:before="0" w:after="60"/>
      <w:ind w:left="317"/>
    </w:pPr>
    <w:rPr>
      <w:rFonts w:ascii="Consolas" w:hAnsi="Consolas" w:eastAsia="Microsoft YaHei"/>
      <w:b w:val="0"/>
      <w:i w:val="0"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国舜大模型安全护栏大版本升级总结</dc:title>
  <dc:subject>GuardLLM 功能、性能与场景价值说明</dc:subject>
  <dc:creator>国舜大模型安全护栏项目组</dc:creator>
  <cp:keywords>GuardLLM, 大模型安全, 多模态, 推理攻击, 企业级护栏</cp:keywords>
  <dc:description>基于 main@41e3729 编制</dc:description>
  <cp:lastModifiedBy/>
  <cp:revision>1</cp:revision>
  <dcterms:created xsi:type="dcterms:W3CDTF">2026-09-02T21:30:00Z</dcterms:created>
  <dcterms:modified xsi:type="dcterms:W3CDTF">2026-09-02T21:30:00Z</dcterms:modified>
  <cp:category/>
</cp:coreProperties>
</file>