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A25C" w14:textId="77777777" w:rsidR="00962EF2" w:rsidRDefault="00962EF2" w:rsidP="00962EF2">
      <w:r>
        <w:t>“Online learning during the pandemic was inadequate”</w:t>
      </w:r>
    </w:p>
    <w:p w14:paraId="28016D70" w14:textId="57C1BDD6" w:rsidR="00962EF2" w:rsidRPr="00962EF2" w:rsidRDefault="00C1667B" w:rsidP="00C1667B">
      <w:r w:rsidRPr="00C1667B">
        <w:rPr>
          <w:b/>
          <w:bCs/>
        </w:rPr>
        <w:t>Parents, LAUSD Settle Suit:  100,000 students get 45 tutoring hours for 3 years</w:t>
      </w:r>
      <w:r w:rsidR="00A65E20">
        <w:rPr>
          <w:b/>
          <w:bCs/>
        </w:rPr>
        <w:t xml:space="preserve"> (</w:t>
      </w:r>
      <w:r w:rsidR="00A65E20" w:rsidRPr="00A65E20">
        <w:rPr>
          <w:b/>
          <w:bCs/>
        </w:rPr>
        <w:t>Shaw et al. v. LAUSD et al.</w:t>
      </w:r>
      <w:r w:rsidR="00A65E20">
        <w:rPr>
          <w:b/>
          <w:bCs/>
        </w:rPr>
        <w:t>)</w:t>
      </w:r>
      <w:r w:rsidR="00A71A0F">
        <w:rPr>
          <w:b/>
          <w:bCs/>
        </w:rPr>
        <w:t xml:space="preserve">  </w:t>
      </w:r>
      <w:hyperlink r:id="rId5" w:history="1">
        <w:r w:rsidRPr="000D694D">
          <w:rPr>
            <w:rStyle w:val="Hyperlink"/>
          </w:rPr>
          <w:t>https://edsource.org/2025/lawsuit-lau</w:t>
        </w:r>
        <w:r w:rsidRPr="000D694D">
          <w:rPr>
            <w:rStyle w:val="Hyperlink"/>
          </w:rPr>
          <w:t>s</w:t>
        </w:r>
        <w:r w:rsidRPr="000D694D">
          <w:rPr>
            <w:rStyle w:val="Hyperlink"/>
          </w:rPr>
          <w:t>d-online-learning/740022</w:t>
        </w:r>
      </w:hyperlink>
      <w:r>
        <w:t xml:space="preserve"> </w:t>
      </w:r>
    </w:p>
    <w:p w14:paraId="40178DB6" w14:textId="63BEC110" w:rsidR="00C1667B" w:rsidRPr="00C1667B" w:rsidRDefault="00C1667B" w:rsidP="00C1667B">
      <w:pPr>
        <w:rPr>
          <w:b/>
          <w:bCs/>
        </w:rPr>
      </w:pPr>
      <w:r w:rsidRPr="00C1667B">
        <w:rPr>
          <w:b/>
          <w:bCs/>
        </w:rPr>
        <w:t>Top Takeaways</w:t>
      </w:r>
    </w:p>
    <w:p w14:paraId="62A46132" w14:textId="77777777" w:rsidR="00C1667B" w:rsidRPr="00C1667B" w:rsidRDefault="00C1667B" w:rsidP="00C1667B">
      <w:pPr>
        <w:numPr>
          <w:ilvl w:val="0"/>
          <w:numId w:val="2"/>
        </w:numPr>
      </w:pPr>
      <w:r w:rsidRPr="00C1667B">
        <w:t>Lawsuit claimed online learning during the pandemic was inadequate and discriminated against Black and Latino students.</w:t>
      </w:r>
    </w:p>
    <w:p w14:paraId="5731B273" w14:textId="77777777" w:rsidR="00C1667B" w:rsidRPr="00C1667B" w:rsidRDefault="00C1667B" w:rsidP="00C1667B">
      <w:pPr>
        <w:numPr>
          <w:ilvl w:val="0"/>
          <w:numId w:val="2"/>
        </w:numPr>
      </w:pPr>
      <w:r w:rsidRPr="00C1667B">
        <w:t>The district will have to provide high-dose tutoring for three years beginning this year.</w:t>
      </w:r>
    </w:p>
    <w:p w14:paraId="77EE674D" w14:textId="5BEF8B64" w:rsidR="00962EF2" w:rsidRDefault="00962EF2" w:rsidP="00C41FB7">
      <w:pPr>
        <w:pBdr>
          <w:bottom w:val="single" w:sz="6" w:space="1" w:color="auto"/>
        </w:pBdr>
      </w:pPr>
      <w:r>
        <w:t xml:space="preserve">LAUSD had a 67% all grades failure rate </w:t>
      </w:r>
      <w:r w:rsidRPr="00962EF2">
        <w:rPr>
          <w:b/>
          <w:bCs/>
        </w:rPr>
        <w:t>going into</w:t>
      </w:r>
      <w:r>
        <w:t xml:space="preserve"> Covid!  Evidently that wasn’t sufficient to bring a lawsuit for “inadequate learning.”  </w:t>
      </w:r>
    </w:p>
    <w:p w14:paraId="614C958A" w14:textId="22D4C814" w:rsidR="00962EF2" w:rsidRDefault="00962EF2" w:rsidP="00C41FB7">
      <w:pPr>
        <w:pBdr>
          <w:bottom w:val="single" w:sz="6" w:space="1" w:color="auto"/>
        </w:pBdr>
      </w:pPr>
      <w:r>
        <w:t xml:space="preserve">Now, along with a bill for hiring tutors for some 100,000 students, the California (and probably the US)  tax-payer is going to be allowed to reward the teachers responsible for “[not] teaching” the students with a 21% wage increase bringing their average salary for 180 each 7.5 hours of work to $107,000.  </w:t>
      </w:r>
    </w:p>
    <w:p w14:paraId="318FA3A9" w14:textId="77777777" w:rsidR="00962EF2" w:rsidRDefault="00962EF2" w:rsidP="00962EF2">
      <w:pPr>
        <w:pBdr>
          <w:bottom w:val="single" w:sz="6" w:space="1" w:color="auto"/>
        </w:pBdr>
      </w:pPr>
    </w:p>
    <w:p w14:paraId="11A21F89" w14:textId="7FE5A2A4" w:rsidR="00962EF2" w:rsidRDefault="00962EF2">
      <w:r>
        <w:t>But might there also be a distant light in this long black tunnel?</w:t>
      </w:r>
    </w:p>
    <w:p w14:paraId="37BCAEC0" w14:textId="4209439A" w:rsidR="00962EF2" w:rsidRDefault="00962EF2" w:rsidP="00962EF2">
      <w:r>
        <w:t>To get an AI summary of the law suit, Google “</w:t>
      </w:r>
      <w:r w:rsidRPr="00962EF2">
        <w:t>how did the Covid conditions under which the LAUSD was successfully sued differ from pre-covid conditions</w:t>
      </w:r>
      <w:r>
        <w:t xml:space="preserve">.”  </w:t>
      </w:r>
    </w:p>
    <w:p w14:paraId="77EC32A8" w14:textId="412AA2C1" w:rsidR="00962EF2" w:rsidRDefault="00962EF2" w:rsidP="00962EF2">
      <w:r>
        <w:t>Two conditions of interest:  Reports of no direct Instruction from teachers;  Teachers’ Union managed to obtain an agreement from the district that restricted the district from monitoring teachers’ remote teaching.</w:t>
      </w:r>
    </w:p>
    <w:p w14:paraId="2E504995" w14:textId="74D29ECF" w:rsidR="00962EF2" w:rsidRDefault="00962EF2" w:rsidP="00962EF2">
      <w:r>
        <w:t xml:space="preserve">In essence, there was insufficient accountability and instead of harming everyone equally, it harmed poor minorities… just like before Covid … only worse. </w:t>
      </w:r>
    </w:p>
    <w:p w14:paraId="212C45C5" w14:textId="77777777" w:rsidR="00962EF2" w:rsidRDefault="00962EF2" w:rsidP="00962EF2">
      <w:r>
        <w:t xml:space="preserve">What is interesting, however, is that only the tax payers are being held accountable for this failure… not the teachers who failed to teach or worse… chose not to; not the unions that advocated for if not demanded the policies that did the damage.  </w:t>
      </w:r>
    </w:p>
    <w:p w14:paraId="4DDE4AD5" w14:textId="2899EA93" w:rsidR="00962EF2" w:rsidRDefault="00962EF2" w:rsidP="00962EF2">
      <w:r>
        <w:t xml:space="preserve">Why?  If you </w:t>
      </w:r>
    </w:p>
    <w:p w14:paraId="62D5A1E7" w14:textId="2987F962" w:rsidR="00962EF2" w:rsidRDefault="00962EF2" w:rsidP="00962EF2">
      <w:r>
        <w:t xml:space="preserve">Teacher Liability </w:t>
      </w:r>
      <w:hyperlink r:id="rId6" w:history="1">
        <w:r w:rsidRPr="004A57E1">
          <w:rPr>
            <w:rStyle w:val="Hyperlink"/>
          </w:rPr>
          <w:t>https://www.law.cornell.edu/uscode/text/20/7946</w:t>
        </w:r>
      </w:hyperlink>
    </w:p>
    <w:p w14:paraId="330B4162" w14:textId="77777777" w:rsidR="00962EF2" w:rsidRDefault="00962EF2" w:rsidP="00962EF2">
      <w:hyperlink r:id="rId7" w:tgtFrame="_blank" w:history="1">
        <w:r w:rsidRPr="00962EF2">
          <w:rPr>
            <w:rStyle w:val="Hyperlink"/>
          </w:rPr>
          <w:t>Glacier Northwest, Inc. v. International Brotherhood of Teamsters</w:t>
        </w:r>
      </w:hyperlink>
      <w:r w:rsidRPr="00962EF2">
        <w:t>.</w:t>
      </w:r>
    </w:p>
    <w:p w14:paraId="6CC60908" w14:textId="77777777" w:rsidR="00962EF2" w:rsidRDefault="00962EF2" w:rsidP="00962EF2"/>
    <w:p w14:paraId="2EEDEEE1" w14:textId="77777777" w:rsidR="00962EF2" w:rsidRPr="00962EF2" w:rsidRDefault="00962EF2" w:rsidP="00962EF2">
      <w:r w:rsidRPr="00962EF2">
        <w:br/>
        <w:t xml:space="preserve">In most cases, a union cannot be held liable for damages resulting from its lobbying activities due to the </w:t>
      </w:r>
      <w:r w:rsidRPr="00962EF2">
        <w:lastRenderedPageBreak/>
        <w:t>First Amendment protection afforded by the </w:t>
      </w:r>
      <w:r w:rsidRPr="00962EF2">
        <w:rPr>
          <w:i/>
          <w:iCs/>
        </w:rPr>
        <w:t>Noerr-Pennington</w:t>
      </w:r>
      <w:r w:rsidRPr="00962EF2">
        <w:t> doctrine. However, there are limited exceptions where a union could face liability, particularly if its lobbying is a "sham" or part of an illegal conspiracy. </w:t>
      </w:r>
    </w:p>
    <w:p w14:paraId="78F1F55E" w14:textId="77777777" w:rsidR="00962EF2" w:rsidRPr="00962EF2" w:rsidRDefault="00962EF2" w:rsidP="00962EF2">
      <w:r w:rsidRPr="00962EF2">
        <w:t>The </w:t>
      </w:r>
      <w:r w:rsidRPr="00962EF2">
        <w:rPr>
          <w:i/>
          <w:iCs/>
        </w:rPr>
        <w:t>Noerr-Pennington</w:t>
      </w:r>
      <w:r w:rsidRPr="00962EF2">
        <w:t> doctrine</w:t>
      </w:r>
    </w:p>
    <w:p w14:paraId="755F09DC" w14:textId="77777777" w:rsidR="00962EF2" w:rsidRPr="00962EF2" w:rsidRDefault="00962EF2" w:rsidP="00962EF2">
      <w:r w:rsidRPr="00962EF2">
        <w:t>The </w:t>
      </w:r>
      <w:r w:rsidRPr="00962EF2">
        <w:rPr>
          <w:i/>
          <w:iCs/>
        </w:rPr>
        <w:t>Noerr-Pennington</w:t>
      </w:r>
      <w:r w:rsidRPr="00962EF2">
        <w:t> doctrine, established by the U.S. Supreme Court, protects private entities, including unions, from liability for damage that results from petitioning the government. </w:t>
      </w:r>
    </w:p>
    <w:p w14:paraId="5A0A40B8" w14:textId="77777777" w:rsidR="00962EF2" w:rsidRPr="00962EF2" w:rsidRDefault="00962EF2" w:rsidP="00962EF2">
      <w:pPr>
        <w:numPr>
          <w:ilvl w:val="0"/>
          <w:numId w:val="5"/>
        </w:numPr>
      </w:pPr>
      <w:r w:rsidRPr="00962EF2">
        <w:rPr>
          <w:b/>
          <w:bCs/>
        </w:rPr>
        <w:t>Basis in the First Amendment</w:t>
      </w:r>
      <w:r w:rsidRPr="00962EF2">
        <w:t>: The doctrine is rooted in the constitutional right to petition the government, recognizing that the antitrust laws and other common torts are not intended to regulate political activity.</w:t>
      </w:r>
    </w:p>
    <w:p w14:paraId="5661C02A" w14:textId="77777777" w:rsidR="00962EF2" w:rsidRPr="00962EF2" w:rsidRDefault="00962EF2" w:rsidP="00962EF2">
      <w:pPr>
        <w:numPr>
          <w:ilvl w:val="0"/>
          <w:numId w:val="5"/>
        </w:numPr>
      </w:pPr>
      <w:r w:rsidRPr="00962EF2">
        <w:rPr>
          <w:b/>
          <w:bCs/>
        </w:rPr>
        <w:t>Broad protection</w:t>
      </w:r>
      <w:r w:rsidRPr="00962EF2">
        <w:t>: Immunity extends to efforts to influence all branches of government, including legislatures, regulatory agencies, and courts.</w:t>
      </w:r>
    </w:p>
    <w:p w14:paraId="7F15E59E" w14:textId="77777777" w:rsidR="00962EF2" w:rsidRPr="00962EF2" w:rsidRDefault="00962EF2" w:rsidP="00962EF2">
      <w:pPr>
        <w:numPr>
          <w:ilvl w:val="0"/>
          <w:numId w:val="5"/>
        </w:numPr>
      </w:pPr>
      <w:r w:rsidRPr="00962EF2">
        <w:rPr>
          <w:b/>
          <w:bCs/>
        </w:rPr>
        <w:t>Protects anticompetitive outcomes</w:t>
      </w:r>
      <w:r w:rsidRPr="00962EF2">
        <w:t>: A union's efforts are protected even if they are intended to influence laws or regulations that would cause anticompetitive harm or damage to a competitor. </w:t>
      </w:r>
    </w:p>
    <w:p w14:paraId="0616E0DA" w14:textId="77777777" w:rsidR="00962EF2" w:rsidRPr="00962EF2" w:rsidRDefault="00962EF2" w:rsidP="00962EF2">
      <w:r w:rsidRPr="00962EF2">
        <w:t>Exceptions to </w:t>
      </w:r>
      <w:r w:rsidRPr="00962EF2">
        <w:rPr>
          <w:i/>
          <w:iCs/>
        </w:rPr>
        <w:t>Noerr-Pennington</w:t>
      </w:r>
      <w:r w:rsidRPr="00962EF2">
        <w:t> immunity</w:t>
      </w:r>
    </w:p>
    <w:p w14:paraId="36BCC7D0" w14:textId="77777777" w:rsidR="00962EF2" w:rsidRPr="00962EF2" w:rsidRDefault="00962EF2" w:rsidP="00962EF2">
      <w:r w:rsidRPr="00962EF2">
        <w:t>Liability can arise when a union's lobbying falls under one of the following exceptions to the doctrine:</w:t>
      </w:r>
    </w:p>
    <w:p w14:paraId="034A4E62" w14:textId="77777777" w:rsidR="00962EF2" w:rsidRPr="00962EF2" w:rsidRDefault="00962EF2" w:rsidP="00962EF2">
      <w:pPr>
        <w:numPr>
          <w:ilvl w:val="0"/>
          <w:numId w:val="6"/>
        </w:numPr>
      </w:pPr>
      <w:r w:rsidRPr="00962EF2">
        <w:rPr>
          <w:b/>
          <w:bCs/>
        </w:rPr>
        <w:t>The "sham" exception</w:t>
      </w:r>
      <w:r w:rsidRPr="00962EF2">
        <w:t>: A union can lose its immunity if its lobbying is not a genuine attempt to influence government action, but is instead a "sham" designed to directly interfere with a competitor's business. To be a sham, the lobbying must be both:</w:t>
      </w:r>
    </w:p>
    <w:p w14:paraId="54ADB495" w14:textId="77777777" w:rsidR="00962EF2" w:rsidRPr="00962EF2" w:rsidRDefault="00962EF2" w:rsidP="00962EF2">
      <w:pPr>
        <w:numPr>
          <w:ilvl w:val="1"/>
          <w:numId w:val="6"/>
        </w:numPr>
      </w:pPr>
      <w:r w:rsidRPr="00962EF2">
        <w:rPr>
          <w:b/>
          <w:bCs/>
        </w:rPr>
        <w:t>Objectively baseless</w:t>
      </w:r>
      <w:r w:rsidRPr="00962EF2">
        <w:t>: A lawsuit or petition that no reasonable litigant could expect to win.</w:t>
      </w:r>
    </w:p>
    <w:p w14:paraId="26F58DB4" w14:textId="77777777" w:rsidR="00962EF2" w:rsidRPr="00962EF2" w:rsidRDefault="00962EF2" w:rsidP="00962EF2">
      <w:pPr>
        <w:numPr>
          <w:ilvl w:val="1"/>
          <w:numId w:val="6"/>
        </w:numPr>
      </w:pPr>
      <w:r w:rsidRPr="00962EF2">
        <w:rPr>
          <w:b/>
          <w:bCs/>
        </w:rPr>
        <w:t>Subjectively motivated</w:t>
      </w:r>
      <w:r w:rsidRPr="00962EF2">
        <w:t>: Filed with the subjective intent to use the governmental process itself—rather than the outcome of the process—to harm a rival.</w:t>
      </w:r>
    </w:p>
    <w:p w14:paraId="3549E724" w14:textId="77777777" w:rsidR="00962EF2" w:rsidRPr="00962EF2" w:rsidRDefault="00962EF2" w:rsidP="00962EF2">
      <w:pPr>
        <w:numPr>
          <w:ilvl w:val="0"/>
          <w:numId w:val="6"/>
        </w:numPr>
      </w:pPr>
      <w:r w:rsidRPr="00962EF2">
        <w:rPr>
          <w:b/>
          <w:bCs/>
        </w:rPr>
        <w:t>Direct private action</w:t>
      </w:r>
      <w:r w:rsidRPr="00962EF2">
        <w:t>: If a union's actions are a direct, private effort to restrain trade and do not depend on any government action, the </w:t>
      </w:r>
      <w:r w:rsidRPr="00962EF2">
        <w:rPr>
          <w:i/>
          <w:iCs/>
        </w:rPr>
        <w:t>Noerr-Pennington</w:t>
      </w:r>
      <w:r w:rsidRPr="00962EF2">
        <w:t> doctrine offers no protection.</w:t>
      </w:r>
    </w:p>
    <w:p w14:paraId="6F35251F" w14:textId="77777777" w:rsidR="00962EF2" w:rsidRDefault="00962EF2" w:rsidP="00962EF2">
      <w:pPr>
        <w:numPr>
          <w:ilvl w:val="0"/>
          <w:numId w:val="6"/>
        </w:numPr>
      </w:pPr>
      <w:r w:rsidRPr="00962EF2">
        <w:rPr>
          <w:b/>
          <w:bCs/>
        </w:rPr>
        <w:t>Conspiracy with non-union employers</w:t>
      </w:r>
      <w:r w:rsidRPr="00962EF2">
        <w:t>: The immunity does not apply if the union engages in a conspiracy with a group of employers to impose wage scales or other restraints on other companies. The Supreme Court has ruled that such agreements forfeit the union's antitrust exemption. </w:t>
      </w:r>
    </w:p>
    <w:p w14:paraId="770D06AC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rPr>
          <w:rStyle w:val="Hyperlink"/>
          <w:rFonts w:ascii="Arial" w:hAnsi="Arial" w:cs="Arial"/>
          <w:color w:val="99C3FF"/>
          <w:u w:val="none"/>
        </w:rPr>
      </w:pPr>
      <w:r w:rsidRPr="00962EF2">
        <w:rPr>
          <w:rStyle w:val="v9tjod"/>
          <w:rFonts w:ascii="Arial" w:hAnsi="Arial" w:cs="Arial"/>
          <w:color w:val="E8E8E8"/>
        </w:rPr>
        <w:fldChar w:fldCharType="begin"/>
      </w:r>
      <w:r w:rsidRPr="00962EF2">
        <w:rPr>
          <w:rStyle w:val="v9tjod"/>
          <w:rFonts w:ascii="Arial" w:hAnsi="Arial" w:cs="Arial"/>
          <w:color w:val="E8E8E8"/>
        </w:rPr>
        <w:instrText>HYPERLINK "https://www.justice.gov/file/494451/dl"</w:instrText>
      </w:r>
      <w:r>
        <w:rPr>
          <w:rStyle w:val="v9tjod"/>
          <w:rFonts w:ascii="Arial" w:hAnsi="Arial" w:cs="Arial"/>
          <w:color w:val="E8E8E8"/>
        </w:rPr>
      </w:r>
      <w:r w:rsidRPr="00962EF2">
        <w:rPr>
          <w:rStyle w:val="v9tjod"/>
          <w:rFonts w:ascii="Arial" w:hAnsi="Arial" w:cs="Arial"/>
          <w:color w:val="E8E8E8"/>
        </w:rPr>
        <w:fldChar w:fldCharType="separate"/>
      </w:r>
    </w:p>
    <w:p w14:paraId="49C5F97B" w14:textId="77777777" w:rsidR="00962EF2" w:rsidRDefault="00962EF2" w:rsidP="00962EF2">
      <w:pPr>
        <w:pStyle w:val="Heading3"/>
        <w:numPr>
          <w:ilvl w:val="0"/>
          <w:numId w:val="6"/>
        </w:numPr>
        <w:shd w:val="clear" w:color="auto" w:fill="1F1F1F"/>
        <w:spacing w:before="45" w:after="0" w:line="390" w:lineRule="atLeast"/>
        <w:rPr>
          <w:sz w:val="30"/>
          <w:szCs w:val="30"/>
        </w:rPr>
      </w:pPr>
      <w:r>
        <w:rPr>
          <w:rFonts w:ascii="Arial" w:hAnsi="Arial" w:cs="Arial"/>
          <w:b/>
          <w:bCs/>
          <w:color w:val="99C3FF"/>
          <w:sz w:val="30"/>
          <w:szCs w:val="30"/>
        </w:rPr>
        <w:lastRenderedPageBreak/>
        <w:t>Application of 18 U.S.C. § 1913 to “Grass Roots” Lobbying ...</w:t>
      </w:r>
    </w:p>
    <w:p w14:paraId="4B00CD68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rPr>
          <w:rStyle w:val="Hyperlink"/>
          <w:color w:val="99C3FF"/>
          <w:sz w:val="24"/>
          <w:szCs w:val="24"/>
          <w:u w:val="none"/>
        </w:rPr>
      </w:pPr>
      <w:r w:rsidRPr="00962EF2">
        <w:rPr>
          <w:rFonts w:ascii="Arial" w:hAnsi="Arial" w:cs="Arial"/>
          <w:color w:val="99C3FF"/>
        </w:rPr>
        <w:br/>
      </w:r>
    </w:p>
    <w:p w14:paraId="78D4F3EE" w14:textId="4F437A61" w:rsid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ind w:right="180"/>
        <w:textAlignment w:val="center"/>
      </w:pPr>
      <w:r>
        <w:rPr>
          <w:noProof/>
        </w:rPr>
        <w:drawing>
          <wp:inline distT="0" distB="0" distL="0" distR="0" wp14:anchorId="79F9966F" wp14:editId="31D4E434">
            <wp:extent cx="263525" cy="263525"/>
            <wp:effectExtent l="0" t="0" r="3175" b="3175"/>
            <wp:docPr id="16454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F9E8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rPr>
          <w:rFonts w:ascii="Arial" w:hAnsi="Arial" w:cs="Arial"/>
          <w:color w:val="99C3FF"/>
        </w:rPr>
      </w:pPr>
      <w:r w:rsidRPr="00962EF2">
        <w:rPr>
          <w:rStyle w:val="vuuxrf"/>
          <w:rFonts w:ascii="Arial" w:hAnsi="Arial" w:cs="Arial"/>
          <w:color w:val="DADCE0"/>
          <w:sz w:val="21"/>
          <w:szCs w:val="21"/>
        </w:rPr>
        <w:t>Department of Justice (.gov)</w:t>
      </w:r>
    </w:p>
    <w:p w14:paraId="19E60A48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rPr>
          <w:rFonts w:ascii="Arial" w:hAnsi="Arial" w:cs="Arial"/>
          <w:color w:val="99C3FF"/>
        </w:rPr>
      </w:pPr>
      <w:r w:rsidRPr="00962EF2">
        <w:rPr>
          <w:rStyle w:val="HTMLCite"/>
          <w:rFonts w:ascii="Arial" w:hAnsi="Arial" w:cs="Arial"/>
          <w:i w:val="0"/>
          <w:iCs w:val="0"/>
          <w:color w:val="BDC1C6"/>
          <w:sz w:val="18"/>
          <w:szCs w:val="18"/>
        </w:rPr>
        <w:t>https://www.justice.gov</w:t>
      </w:r>
      <w:r w:rsidRPr="00962EF2">
        <w:rPr>
          <w:rStyle w:val="ylgvce"/>
          <w:rFonts w:ascii="Arial" w:hAnsi="Arial" w:cs="Arial"/>
          <w:color w:val="BDC1C6"/>
          <w:sz w:val="18"/>
          <w:szCs w:val="18"/>
        </w:rPr>
        <w:t> › file</w:t>
      </w:r>
    </w:p>
    <w:p w14:paraId="29252D32" w14:textId="77777777" w:rsidR="00962EF2" w:rsidRDefault="00962EF2" w:rsidP="00962EF2">
      <w:pPr>
        <w:pStyle w:val="ListParagraph"/>
        <w:numPr>
          <w:ilvl w:val="0"/>
          <w:numId w:val="6"/>
        </w:numPr>
      </w:pPr>
      <w:r>
        <w:rPr>
          <w:rStyle w:val="v9tjod"/>
          <w:rFonts w:ascii="Arial" w:hAnsi="Arial" w:cs="Arial"/>
          <w:color w:val="E8E8E8"/>
        </w:rPr>
        <w:fldChar w:fldCharType="end"/>
      </w:r>
    </w:p>
    <w:p w14:paraId="1243A41E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spacing w:line="240" w:lineRule="atLeast"/>
        <w:rPr>
          <w:rFonts w:ascii="Arial" w:hAnsi="Arial" w:cs="Arial"/>
          <w:color w:val="E8E8E8"/>
          <w:sz w:val="17"/>
          <w:szCs w:val="17"/>
        </w:rPr>
      </w:pPr>
      <w:r w:rsidRPr="00962EF2">
        <w:rPr>
          <w:rFonts w:ascii="Arial" w:hAnsi="Arial" w:cs="Arial"/>
          <w:color w:val="E8E8E8"/>
          <w:sz w:val="17"/>
          <w:szCs w:val="17"/>
        </w:rPr>
        <w:t>PDF</w:t>
      </w:r>
    </w:p>
    <w:p w14:paraId="47FBDB47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spacing w:line="330" w:lineRule="atLeast"/>
        <w:rPr>
          <w:rFonts w:ascii="Arial" w:hAnsi="Arial" w:cs="Arial"/>
          <w:color w:val="BFBFBF"/>
          <w:sz w:val="21"/>
          <w:szCs w:val="21"/>
        </w:rPr>
      </w:pPr>
      <w:r w:rsidRPr="00962EF2">
        <w:rPr>
          <w:rStyle w:val="yrbpuc"/>
          <w:rFonts w:ascii="Arial" w:hAnsi="Arial" w:cs="Arial"/>
          <w:color w:val="9E9E9E"/>
          <w:sz w:val="21"/>
          <w:szCs w:val="21"/>
        </w:rPr>
        <w:t>Nov 23, 2005 — </w:t>
      </w:r>
      <w:r w:rsidRPr="00962EF2">
        <w:rPr>
          <w:rFonts w:ascii="Arial" w:hAnsi="Arial" w:cs="Arial"/>
          <w:color w:val="BFBFBF"/>
          <w:sz w:val="21"/>
          <w:szCs w:val="21"/>
        </w:rPr>
        <w:t>Under 18 U.S.C. § 1913, federal employees who are </w:t>
      </w:r>
      <w:r w:rsidRPr="00962EF2">
        <w:rPr>
          <w:rStyle w:val="Emphasis"/>
          <w:rFonts w:ascii="Arial" w:hAnsi="Arial" w:cs="Arial"/>
          <w:b/>
          <w:bCs/>
          <w:i w:val="0"/>
          <w:iCs w:val="0"/>
          <w:color w:val="BFBFBF"/>
          <w:sz w:val="21"/>
          <w:szCs w:val="21"/>
        </w:rPr>
        <w:t>union</w:t>
      </w:r>
      <w:r w:rsidRPr="00962EF2">
        <w:rPr>
          <w:rFonts w:ascii="Arial" w:hAnsi="Arial" w:cs="Arial"/>
          <w:color w:val="BFBFBF"/>
          <w:sz w:val="21"/>
          <w:szCs w:val="21"/>
        </w:rPr>
        <w:t> representatives may not use official time to engage in “grass roots” </w:t>
      </w:r>
      <w:r w:rsidRPr="00962EF2">
        <w:rPr>
          <w:rStyle w:val="Emphasis"/>
          <w:rFonts w:ascii="Arial" w:hAnsi="Arial" w:cs="Arial"/>
          <w:b/>
          <w:bCs/>
          <w:i w:val="0"/>
          <w:iCs w:val="0"/>
          <w:color w:val="BFBFBF"/>
          <w:sz w:val="21"/>
          <w:szCs w:val="21"/>
        </w:rPr>
        <w:t>lobbying</w:t>
      </w:r>
      <w:r w:rsidRPr="00962EF2">
        <w:rPr>
          <w:rFonts w:ascii="Arial" w:hAnsi="Arial" w:cs="Arial"/>
          <w:color w:val="BFBFBF"/>
          <w:sz w:val="21"/>
          <w:szCs w:val="21"/>
        </w:rPr>
        <w:t> in which, ...</w:t>
      </w:r>
    </w:p>
    <w:p w14:paraId="24181E78" w14:textId="77777777" w:rsidR="00962EF2" w:rsidRPr="00962EF2" w:rsidRDefault="00962EF2" w:rsidP="00962EF2">
      <w:pPr>
        <w:pStyle w:val="ListParagraph"/>
        <w:numPr>
          <w:ilvl w:val="0"/>
          <w:numId w:val="6"/>
        </w:numPr>
        <w:shd w:val="clear" w:color="auto" w:fill="1F1F1F"/>
        <w:spacing w:line="240" w:lineRule="auto"/>
        <w:rPr>
          <w:rFonts w:ascii="Arial" w:hAnsi="Arial" w:cs="Arial"/>
          <w:color w:val="9E9E9E"/>
          <w:sz w:val="21"/>
          <w:szCs w:val="21"/>
        </w:rPr>
      </w:pPr>
      <w:r w:rsidRPr="00962EF2">
        <w:rPr>
          <w:rFonts w:ascii="Arial" w:hAnsi="Arial" w:cs="Arial"/>
          <w:color w:val="9E9E9E"/>
          <w:sz w:val="21"/>
          <w:szCs w:val="21"/>
        </w:rPr>
        <w:t>Missing: </w:t>
      </w:r>
      <w:r w:rsidRPr="00962EF2">
        <w:rPr>
          <w:rFonts w:ascii="Arial" w:hAnsi="Arial" w:cs="Arial"/>
          <w:strike/>
          <w:color w:val="9E9E9E"/>
          <w:sz w:val="21"/>
          <w:szCs w:val="21"/>
        </w:rPr>
        <w:t>damages</w:t>
      </w:r>
      <w:r w:rsidRPr="00962EF2">
        <w:rPr>
          <w:rFonts w:ascii="Arial" w:hAnsi="Arial" w:cs="Arial"/>
          <w:color w:val="9E9E9E"/>
          <w:sz w:val="21"/>
          <w:szCs w:val="21"/>
        </w:rPr>
        <w:t> ‎| Show results with: </w:t>
      </w:r>
      <w:hyperlink r:id="rId9" w:history="1">
        <w:r w:rsidRPr="00962EF2">
          <w:rPr>
            <w:rStyle w:val="Hyperlink"/>
            <w:rFonts w:ascii="Arial" w:hAnsi="Arial" w:cs="Arial"/>
            <w:color w:val="99C3FF"/>
            <w:sz w:val="21"/>
            <w:szCs w:val="21"/>
          </w:rPr>
          <w:t>damages</w:t>
        </w:r>
      </w:hyperlink>
    </w:p>
    <w:p w14:paraId="7ADDAD4E" w14:textId="77777777" w:rsidR="00962EF2" w:rsidRPr="00962EF2" w:rsidRDefault="00962EF2" w:rsidP="00962EF2">
      <w:pPr>
        <w:numPr>
          <w:ilvl w:val="0"/>
          <w:numId w:val="6"/>
        </w:numPr>
        <w:shd w:val="clear" w:color="auto" w:fill="1F1F1F"/>
        <w:spacing w:after="240" w:line="330" w:lineRule="atLeast"/>
        <w:rPr>
          <w:rFonts w:ascii="Arial" w:eastAsia="Times New Roman" w:hAnsi="Arial" w:cs="Arial"/>
          <w:color w:val="EEF0FF"/>
          <w:kern w:val="0"/>
          <w:sz w:val="24"/>
          <w:szCs w:val="24"/>
          <w14:ligatures w14:val="none"/>
        </w:rPr>
      </w:pPr>
      <w:r w:rsidRPr="00962EF2">
        <w:rPr>
          <w:rFonts w:ascii="Arial" w:eastAsia="Times New Roman" w:hAnsi="Arial" w:cs="Arial"/>
          <w:b/>
          <w:bCs/>
          <w:color w:val="EEF0FF"/>
          <w:kern w:val="0"/>
          <w:sz w:val="24"/>
          <w:szCs w:val="24"/>
          <w14:ligatures w14:val="none"/>
        </w:rPr>
        <w:t>Conspiracy with non-union employers</w:t>
      </w:r>
      <w:r w:rsidRPr="00962EF2">
        <w:rPr>
          <w:rFonts w:ascii="Arial" w:eastAsia="Times New Roman" w:hAnsi="Arial" w:cs="Arial"/>
          <w:color w:val="EEF0FF"/>
          <w:kern w:val="0"/>
          <w:sz w:val="24"/>
          <w:szCs w:val="24"/>
          <w14:ligatures w14:val="none"/>
        </w:rPr>
        <w:t>: The immunity does not apply if the union engages in a conspiracy with a group of employers to impose wage scales or other restraints on other companies. The Supreme Court has ruled that such agreements forfeit the union's antitrust exemption. </w:t>
      </w:r>
    </w:p>
    <w:p w14:paraId="6F8796DB" w14:textId="77777777" w:rsidR="00962EF2" w:rsidRPr="00962EF2" w:rsidRDefault="00962EF2" w:rsidP="00962EF2"/>
    <w:p w14:paraId="64DDF651" w14:textId="77777777" w:rsidR="00962EF2" w:rsidRPr="00962EF2" w:rsidRDefault="00962EF2" w:rsidP="00962EF2">
      <w:r w:rsidRPr="00962EF2">
        <w:t>Union dues for lobbying</w:t>
      </w:r>
    </w:p>
    <w:p w14:paraId="323F7C89" w14:textId="77777777" w:rsidR="00962EF2" w:rsidRPr="00962EF2" w:rsidRDefault="00962EF2" w:rsidP="00962EF2">
      <w:r w:rsidRPr="00962EF2">
        <w:t>Unions cannot legally use dues from non-members to fund political lobbying activities. In a 2019 decision, the National Labor Relations Board (NLRB) ruled that lobbying expenses are not related to a union's core representational functions (collective bargaining, contract administration, and grievance handling) and therefore cannot be charged to objecting non-members. </w:t>
      </w:r>
    </w:p>
    <w:p w14:paraId="7759F7F0" w14:textId="4B9A383C" w:rsidR="00962EF2" w:rsidRDefault="00962EF2" w:rsidP="00962EF2">
      <w:r>
        <w:t xml:space="preserve"> </w:t>
      </w:r>
      <w:r w:rsidRPr="00962EF2">
        <w:t>Noerr-Pennington doctrine</w:t>
      </w:r>
    </w:p>
    <w:p w14:paraId="3401EC16" w14:textId="77777777" w:rsidR="00962EF2" w:rsidRDefault="00962EF2" w:rsidP="00962EF2"/>
    <w:p w14:paraId="52B08214" w14:textId="77777777" w:rsidR="00962EF2" w:rsidRDefault="00962EF2" w:rsidP="00962EF2"/>
    <w:p w14:paraId="3C5859FB" w14:textId="77777777" w:rsidR="00962EF2" w:rsidRDefault="00962EF2"/>
    <w:p w14:paraId="1CBBF438" w14:textId="77777777" w:rsidR="00962EF2" w:rsidRDefault="00962EF2"/>
    <w:p w14:paraId="38A9D1F6" w14:textId="2EF3AE81" w:rsidR="00962EF2" w:rsidRDefault="00962EF2">
      <w:r>
        <w:t xml:space="preserve">This lawsuit was brought against the School District for “inadequate learning during the pandemic” liability for which evidently rests with the district’s tax payers.  </w:t>
      </w:r>
    </w:p>
    <w:p w14:paraId="73153256" w14:textId="1AEFB247" w:rsidR="004D12A6" w:rsidRDefault="00962EF2">
      <w:r>
        <w:t xml:space="preserve">Washington States pre-Covid 40% met (and Yelm’s 3Washington </w:t>
      </w:r>
      <w:r w:rsidR="00AF57A0">
        <w:t xml:space="preserve">State’s </w:t>
      </w:r>
      <w:r w:rsidR="00162BED">
        <w:t>3</w:t>
      </w:r>
      <w:r w:rsidR="006C1AA2">
        <w:t>8</w:t>
      </w:r>
      <w:r w:rsidR="00162BED">
        <w:t xml:space="preserve">% </w:t>
      </w:r>
      <w:r w:rsidR="006C1AA2">
        <w:t xml:space="preserve">average </w:t>
      </w:r>
      <w:r w:rsidR="00162BED">
        <w:t xml:space="preserve">drop </w:t>
      </w:r>
      <w:r w:rsidR="006C1AA2">
        <w:t xml:space="preserve">in the year over year </w:t>
      </w:r>
      <w:r w:rsidR="00162BED">
        <w:t>percent of students meeting minimum standards</w:t>
      </w:r>
      <w:r w:rsidR="006C1AA2">
        <w:t xml:space="preserve"> between 2018-19 and 2020-21</w:t>
      </w:r>
      <w:r w:rsidR="00162BED">
        <w:t xml:space="preserve">… </w:t>
      </w:r>
      <w:r>
        <w:t xml:space="preserve">and its current </w:t>
      </w:r>
      <w:r w:rsidR="006C1AA2">
        <w:t>makes C</w:t>
      </w:r>
      <w:r w:rsidR="00162BED">
        <w:t xml:space="preserve">ovid’s </w:t>
      </w:r>
      <w:r w:rsidR="00C1667B">
        <w:t>“remote learning”</w:t>
      </w:r>
      <w:r w:rsidR="006C1AA2">
        <w:t xml:space="preserve">, arguably, </w:t>
      </w:r>
      <w:r w:rsidR="00C1667B">
        <w:t>the gold standard in oxymoron</w:t>
      </w:r>
      <w:r w:rsidR="00162BED">
        <w:t xml:space="preserve">s.  </w:t>
      </w:r>
      <w:r w:rsidR="005A615C">
        <w:t>Though now</w:t>
      </w:r>
      <w:r w:rsidR="00A71A0F">
        <w:t xml:space="preserve"> (</w:t>
      </w:r>
      <w:r w:rsidR="00E43DCB">
        <w:t xml:space="preserve">as of </w:t>
      </w:r>
      <w:r w:rsidR="00A71A0F">
        <w:t>2023-24)</w:t>
      </w:r>
      <w:r w:rsidR="005A615C">
        <w:t xml:space="preserve"> down to a </w:t>
      </w:r>
      <w:r w:rsidR="00C41FB7">
        <w:t>modest</w:t>
      </w:r>
      <w:r w:rsidR="005A615C">
        <w:t xml:space="preserve"> 24% drop</w:t>
      </w:r>
      <w:r w:rsidR="00DE47F6">
        <w:t>,</w:t>
      </w:r>
      <w:r w:rsidR="006C1AA2">
        <w:t xml:space="preserve"> the damage persists.</w:t>
      </w:r>
      <w:r w:rsidR="005616D4">
        <w:t xml:space="preserve">  But clearly, “</w:t>
      </w:r>
      <w:r w:rsidR="004D12A6">
        <w:t xml:space="preserve">online </w:t>
      </w:r>
      <w:r w:rsidR="005616D4">
        <w:t>learning during the pandemic was inadequate</w:t>
      </w:r>
      <w:r w:rsidR="00E43DCB">
        <w:t>.</w:t>
      </w:r>
      <w:r w:rsidR="005616D4">
        <w:t>”</w:t>
      </w:r>
    </w:p>
    <w:p w14:paraId="71E300F6" w14:textId="567922CB" w:rsidR="00A71A0F" w:rsidRDefault="00A71A0F">
      <w:r>
        <w:lastRenderedPageBreak/>
        <w:t xml:space="preserve">That, of course, focuses on the “Covid Plunge.”  It ignores the </w:t>
      </w:r>
      <w:r w:rsidR="00E43DCB">
        <w:t>pre-Covid state wide 60% failure rate… and Yelm’s own 76% failure rate.</w:t>
      </w:r>
    </w:p>
    <w:p w14:paraId="24D0B7DD" w14:textId="10F3DFA0" w:rsidR="00C1667B" w:rsidRDefault="00AF57A0">
      <w:r>
        <w:t xml:space="preserve">The </w:t>
      </w:r>
      <w:r w:rsidR="00731449">
        <w:t>“mitigation” (not the fix… not the future prevention… not the correction) per</w:t>
      </w:r>
      <w:r>
        <w:t xml:space="preserve"> research published in ed industry </w:t>
      </w:r>
      <w:r w:rsidR="00077246">
        <w:t>journals (</w:t>
      </w:r>
      <w:r>
        <w:t>and referenced above</w:t>
      </w:r>
      <w:r w:rsidR="00077246">
        <w:t>)</w:t>
      </w:r>
      <w:r>
        <w:t xml:space="preserve">, is “high dosage, </w:t>
      </w:r>
      <w:r w:rsidR="00DE47F6">
        <w:t>[</w:t>
      </w:r>
      <w:r>
        <w:t>low ratio</w:t>
      </w:r>
      <w:r w:rsidR="00DE47F6">
        <w:t>]</w:t>
      </w:r>
      <w:r>
        <w:t xml:space="preserve">” tutoring.  What this means is 1 tutor per, at most, 3 kids for a minimum of 3 hours per week per subject.  </w:t>
      </w:r>
    </w:p>
    <w:p w14:paraId="4DB748A4" w14:textId="0E514A9B" w:rsidR="00B8042E" w:rsidRDefault="00AF57A0">
      <w:r>
        <w:t xml:space="preserve">Washington State has about 41,000 </w:t>
      </w:r>
      <w:r w:rsidR="00880B90">
        <w:t xml:space="preserve">ea </w:t>
      </w:r>
      <w:r w:rsidRPr="005669A5">
        <w:rPr>
          <w:b/>
          <w:bCs/>
        </w:rPr>
        <w:t>10</w:t>
      </w:r>
      <w:r w:rsidRPr="005669A5">
        <w:rPr>
          <w:b/>
          <w:bCs/>
          <w:vertAlign w:val="superscript"/>
        </w:rPr>
        <w:t>th</w:t>
      </w:r>
      <w:r w:rsidRPr="005669A5">
        <w:rPr>
          <w:b/>
          <w:bCs/>
        </w:rPr>
        <w:t xml:space="preserve"> grade students alone</w:t>
      </w:r>
      <w:r>
        <w:t xml:space="preserve"> who need this level of tutoring in at least one (1) subject.  Yelm</w:t>
      </w:r>
      <w:r w:rsidR="005616D4">
        <w:t xml:space="preserve">… about </w:t>
      </w:r>
      <w:r>
        <w:t>330</w:t>
      </w:r>
      <w:r w:rsidR="005616D4">
        <w:t xml:space="preserve"> same/same.</w:t>
      </w:r>
      <w:r w:rsidR="00B8042E">
        <w:t xml:space="preserve">  </w:t>
      </w:r>
      <w:r w:rsidR="005616D4">
        <w:t>This is</w:t>
      </w:r>
      <w:r w:rsidR="00731449">
        <w:t xml:space="preserve">, </w:t>
      </w:r>
      <w:r w:rsidR="00B8042E">
        <w:t>generally</w:t>
      </w:r>
      <w:r w:rsidR="00731449">
        <w:t xml:space="preserve">, where we are.  </w:t>
      </w:r>
    </w:p>
    <w:p w14:paraId="33DCE981" w14:textId="076E2F65" w:rsidR="005616D4" w:rsidRDefault="005616D4">
      <w:r>
        <w:t>Let’s talk responsibility for a moment</w:t>
      </w:r>
      <w:r w:rsidR="006B6BD1">
        <w:t xml:space="preserve"> and where we might find resources to solve it… other than the tax payer.</w:t>
      </w:r>
    </w:p>
    <w:p w14:paraId="6C36A9FD" w14:textId="6CD49616" w:rsidR="006A5316" w:rsidRPr="006A5316" w:rsidRDefault="00874DD4" w:rsidP="006A5316">
      <w:r>
        <w:t>Public sector unions</w:t>
      </w:r>
      <w:r w:rsidR="001A7657">
        <w:t xml:space="preserve">, </w:t>
      </w:r>
      <w:r w:rsidR="00A65E20">
        <w:t xml:space="preserve">the existence of </w:t>
      </w:r>
      <w:r w:rsidR="006A5316">
        <w:t>which</w:t>
      </w:r>
      <w:r>
        <w:t xml:space="preserve"> “</w:t>
      </w:r>
      <w:r w:rsidR="006A5316" w:rsidRPr="006A5316">
        <w:t>were unthinkable well into the 20</w:t>
      </w:r>
      <w:r w:rsidR="006A5316" w:rsidRPr="00874DD4">
        <w:rPr>
          <w:vertAlign w:val="superscript"/>
        </w:rPr>
        <w:t>th</w:t>
      </w:r>
      <w:r>
        <w:t xml:space="preserve"> </w:t>
      </w:r>
      <w:r w:rsidR="00DE47F6">
        <w:t>century</w:t>
      </w:r>
      <w:r w:rsidR="00731449">
        <w:t xml:space="preserve"> </w:t>
      </w:r>
      <w:r w:rsidR="006B0003">
        <w:t xml:space="preserve">… </w:t>
      </w:r>
      <w:r>
        <w:t xml:space="preserve">now wield enormous power”.  </w:t>
      </w:r>
      <w:r w:rsidR="006A5316">
        <w:t xml:space="preserve"> (“</w:t>
      </w:r>
      <w:r w:rsidR="006A5316" w:rsidRPr="005669A5">
        <w:rPr>
          <w:i/>
          <w:iCs/>
          <w:u w:val="single"/>
        </w:rPr>
        <w:t>Not Accountable: Rethinking the Constitutionality of Public Employee Unions</w:t>
      </w:r>
      <w:r w:rsidR="006A5316">
        <w:rPr>
          <w:i/>
          <w:iCs/>
        </w:rPr>
        <w:t>”.)</w:t>
      </w:r>
    </w:p>
    <w:p w14:paraId="053D7F13" w14:textId="03A2F0C1" w:rsidR="00731449" w:rsidRDefault="006A5316">
      <w:r>
        <w:t xml:space="preserve">But does that power also come with </w:t>
      </w:r>
      <w:r w:rsidR="00874DD4">
        <w:t xml:space="preserve">responsibility and </w:t>
      </w:r>
      <w:r w:rsidR="00A84D11">
        <w:t xml:space="preserve">liability?  </w:t>
      </w:r>
      <w:r w:rsidR="00880B90">
        <w:t xml:space="preserve">Could the creativity and persistence that led Bob Ferguson’s AG Office to launch nearly 100 lawsuits against Trump and his administration been used to </w:t>
      </w:r>
      <w:r w:rsidR="001A7657">
        <w:t xml:space="preserve">protect </w:t>
      </w:r>
      <w:r w:rsidR="00880B90">
        <w:t xml:space="preserve">our </w:t>
      </w:r>
      <w:r w:rsidR="001A7657">
        <w:t>Public K12 system?</w:t>
      </w:r>
    </w:p>
    <w:p w14:paraId="6B71B829" w14:textId="1363ED5B" w:rsidR="00880B90" w:rsidRDefault="00880B90">
      <w:r>
        <w:t>Some question an AG’s office acting in the best interests of our K12 Students might have asked:</w:t>
      </w:r>
    </w:p>
    <w:p w14:paraId="2699C1F8" w14:textId="22F57729" w:rsidR="003E3E1E" w:rsidRDefault="00880B90" w:rsidP="00880B90">
      <w:pPr>
        <w:pStyle w:val="ListParagraph"/>
        <w:numPr>
          <w:ilvl w:val="0"/>
          <w:numId w:val="4"/>
        </w:numPr>
      </w:pPr>
      <w:r>
        <w:t xml:space="preserve">IF </w:t>
      </w:r>
      <w:r w:rsidR="00364816">
        <w:t xml:space="preserve">a union’s demands </w:t>
      </w:r>
      <w:r w:rsidR="00962EF2">
        <w:t xml:space="preserve">(such as for remote learning) </w:t>
      </w:r>
      <w:r w:rsidR="00364816">
        <w:t xml:space="preserve">are a direct and proximate cause to damages… can they be held liable for that damage?  </w:t>
      </w:r>
    </w:p>
    <w:p w14:paraId="34319459" w14:textId="316B6F58" w:rsidR="00364816" w:rsidRDefault="00423656" w:rsidP="00880B90">
      <w:pPr>
        <w:pStyle w:val="ListParagraph"/>
        <w:numPr>
          <w:ilvl w:val="0"/>
          <w:numId w:val="3"/>
        </w:numPr>
      </w:pPr>
      <w:r>
        <w:t>Would</w:t>
      </w:r>
      <w:r w:rsidR="00364816">
        <w:t xml:space="preserve"> that liability</w:t>
      </w:r>
      <w:r>
        <w:t xml:space="preserve">/responsibility </w:t>
      </w:r>
      <w:r w:rsidR="00364816">
        <w:t>increase</w:t>
      </w:r>
      <w:r>
        <w:t xml:space="preserve"> </w:t>
      </w:r>
      <w:r w:rsidR="00364816">
        <w:t>by such things as</w:t>
      </w:r>
      <w:r w:rsidR="00880B90">
        <w:t>:</w:t>
      </w:r>
    </w:p>
    <w:p w14:paraId="1D364572" w14:textId="1F4F3745" w:rsidR="00364816" w:rsidRDefault="00364816" w:rsidP="001A7657">
      <w:pPr>
        <w:pStyle w:val="ListParagraph"/>
        <w:numPr>
          <w:ilvl w:val="1"/>
          <w:numId w:val="3"/>
        </w:numPr>
      </w:pPr>
      <w:r>
        <w:t xml:space="preserve">Illegal acts or the threats of illegal acts such as </w:t>
      </w:r>
      <w:r w:rsidR="008F71F3">
        <w:t xml:space="preserve">an </w:t>
      </w:r>
      <w:r>
        <w:t>illegal strike</w:t>
      </w:r>
      <w:r w:rsidR="007A6BD0">
        <w:t>;</w:t>
      </w:r>
    </w:p>
    <w:p w14:paraId="1A5D9768" w14:textId="78DD6AC0" w:rsidR="008F71F3" w:rsidRDefault="00364816" w:rsidP="001A7657">
      <w:pPr>
        <w:pStyle w:val="ListParagraph"/>
        <w:numPr>
          <w:ilvl w:val="1"/>
          <w:numId w:val="3"/>
        </w:numPr>
      </w:pPr>
      <w:r>
        <w:t>Claims</w:t>
      </w:r>
      <w:r w:rsidR="003E3E1E">
        <w:t>/representations</w:t>
      </w:r>
      <w:r w:rsidR="00D22992">
        <w:t xml:space="preserve"> by its membership</w:t>
      </w:r>
      <w:r>
        <w:t xml:space="preserve"> </w:t>
      </w:r>
      <w:r w:rsidR="003E3E1E">
        <w:t>(</w:t>
      </w:r>
      <w:r w:rsidR="007A6BD0">
        <w:t xml:space="preserve">eg </w:t>
      </w:r>
      <w:r w:rsidR="003E3E1E">
        <w:t xml:space="preserve">certifications) </w:t>
      </w:r>
      <w:r>
        <w:t>to exceptional knowledge or expert status in the field</w:t>
      </w:r>
      <w:r w:rsidR="008F71F3">
        <w:t xml:space="preserve"> coupled with </w:t>
      </w:r>
      <w:r w:rsidR="003E3E1E">
        <w:t>both a duty and a</w:t>
      </w:r>
      <w:r w:rsidR="008F71F3">
        <w:t xml:space="preserve"> failure to act </w:t>
      </w:r>
      <w:r w:rsidR="008F1A8D">
        <w:t>in</w:t>
      </w:r>
      <w:r w:rsidR="008F71F3">
        <w:t xml:space="preserve"> the face of clear and/or predictable harm</w:t>
      </w:r>
      <w:r w:rsidR="007A6BD0">
        <w:t>;</w:t>
      </w:r>
    </w:p>
    <w:p w14:paraId="020000FE" w14:textId="21CE4036" w:rsidR="00077246" w:rsidRDefault="00077246" w:rsidP="001A7657">
      <w:pPr>
        <w:pStyle w:val="ListParagraph"/>
        <w:numPr>
          <w:ilvl w:val="1"/>
          <w:numId w:val="3"/>
        </w:numPr>
      </w:pPr>
      <w:r>
        <w:t xml:space="preserve">Demands that demonstratively and objectively demean the </w:t>
      </w:r>
      <w:r w:rsidR="00B8042E">
        <w:t xml:space="preserve">efficacy </w:t>
      </w:r>
      <w:r>
        <w:t>of the education rendered</w:t>
      </w:r>
      <w:r w:rsidR="00B8042E">
        <w:t xml:space="preserve"> (Ex Remote Learning</w:t>
      </w:r>
      <w:r w:rsidR="00AA5EB7">
        <w:t xml:space="preserve"> or non-performance based Salary Policies</w:t>
      </w:r>
      <w:r w:rsidR="00B8042E">
        <w:t>)</w:t>
      </w:r>
      <w:r w:rsidR="007A6BD0">
        <w:t>;</w:t>
      </w:r>
    </w:p>
    <w:p w14:paraId="6BBE3951" w14:textId="6A9814F0" w:rsidR="00F667F1" w:rsidRDefault="00AA5EB7" w:rsidP="00096FA0">
      <w:r>
        <w:t>While the Shaw v LAUSD case was predicated on the School District’s Covid response</w:t>
      </w:r>
      <w:r w:rsidR="00F667F1">
        <w:t>/</w:t>
      </w:r>
      <w:r>
        <w:t xml:space="preserve">effect on minorities… it </w:t>
      </w:r>
      <w:r w:rsidR="008C40AC">
        <w:t>might also</w:t>
      </w:r>
      <w:r w:rsidR="00F667F1">
        <w:t xml:space="preserve"> initiate reform either by curtailing and/or eliminating Union influence on K12 Education… or at least make them help pay for the damage.</w:t>
      </w:r>
    </w:p>
    <w:p w14:paraId="69ABE051" w14:textId="77777777" w:rsidR="00962EF2" w:rsidRDefault="00AA5EB7" w:rsidP="00096FA0">
      <w:r>
        <w:t xml:space="preserve"> </w:t>
      </w:r>
    </w:p>
    <w:p w14:paraId="2702D4BF" w14:textId="77777777" w:rsidR="00962EF2" w:rsidRDefault="00962EF2">
      <w:r>
        <w:br w:type="page"/>
      </w:r>
    </w:p>
    <w:p w14:paraId="32A85E22" w14:textId="77777777" w:rsidR="00962EF2" w:rsidRDefault="00962EF2" w:rsidP="00962EF2">
      <w:r>
        <w:lastRenderedPageBreak/>
        <w:t>Here, in Washington, our own JLARC concluded…</w:t>
      </w:r>
    </w:p>
    <w:p w14:paraId="0030186B" w14:textId="77777777" w:rsidR="00962EF2" w:rsidRDefault="00962EF2" w:rsidP="00962EF2">
      <w:pPr>
        <w:ind w:left="720"/>
      </w:pPr>
      <w:r>
        <w:t>“</w:t>
      </w:r>
      <w:r w:rsidRPr="00962EF2">
        <w:t>School poverty level had the largest association with assessment scores. This association increased during the pandemic.</w:t>
      </w:r>
      <w:r>
        <w:t xml:space="preserve">”  (5/10/2023) </w:t>
      </w:r>
      <w:hyperlink r:id="rId10" w:history="1">
        <w:r w:rsidRPr="004A57E1">
          <w:rPr>
            <w:rStyle w:val="Hyperlink"/>
          </w:rPr>
          <w:t>https://leg.wa.gov/jlarc/reports/2023/k12racialequity/f_c/default.html</w:t>
        </w:r>
      </w:hyperlink>
      <w:r>
        <w:t xml:space="preserve"> </w:t>
      </w:r>
    </w:p>
    <w:p w14:paraId="50258115" w14:textId="77777777" w:rsidR="00962EF2" w:rsidRDefault="00962EF2" w:rsidP="00962EF2">
      <w:r>
        <w:t xml:space="preserve">Hmmm… “School poverty”… not race? … Student failure “increased” during Covid?  But, when DEI is your hammer… racism is your nail.  </w:t>
      </w:r>
    </w:p>
    <w:p w14:paraId="4609545E" w14:textId="01C96A62" w:rsidR="00096FA0" w:rsidRDefault="00AA5EB7" w:rsidP="00096FA0">
      <w:r>
        <w:t xml:space="preserve"> </w:t>
      </w:r>
    </w:p>
    <w:sectPr w:rsidR="00096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1D6"/>
    <w:multiLevelType w:val="multilevel"/>
    <w:tmpl w:val="437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6C31"/>
    <w:multiLevelType w:val="multilevel"/>
    <w:tmpl w:val="AA6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3B33"/>
    <w:multiLevelType w:val="multilevel"/>
    <w:tmpl w:val="8AE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B4936"/>
    <w:multiLevelType w:val="multilevel"/>
    <w:tmpl w:val="C25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17FB1"/>
    <w:multiLevelType w:val="hybridMultilevel"/>
    <w:tmpl w:val="41A024D2"/>
    <w:lvl w:ilvl="0" w:tplc="C1ECF8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E7B37"/>
    <w:multiLevelType w:val="hybridMultilevel"/>
    <w:tmpl w:val="149E56A0"/>
    <w:lvl w:ilvl="0" w:tplc="1C8C9D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425FF"/>
    <w:multiLevelType w:val="multilevel"/>
    <w:tmpl w:val="B9F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52025">
    <w:abstractNumId w:val="2"/>
  </w:num>
  <w:num w:numId="2" w16cid:durableId="518205497">
    <w:abstractNumId w:val="3"/>
  </w:num>
  <w:num w:numId="3" w16cid:durableId="1053581700">
    <w:abstractNumId w:val="4"/>
  </w:num>
  <w:num w:numId="4" w16cid:durableId="159397040">
    <w:abstractNumId w:val="5"/>
  </w:num>
  <w:num w:numId="5" w16cid:durableId="1759793635">
    <w:abstractNumId w:val="1"/>
  </w:num>
  <w:num w:numId="6" w16cid:durableId="689257798">
    <w:abstractNumId w:val="6"/>
  </w:num>
  <w:num w:numId="7" w16cid:durableId="213925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7B"/>
    <w:rsid w:val="0002784D"/>
    <w:rsid w:val="000509E3"/>
    <w:rsid w:val="00077246"/>
    <w:rsid w:val="00096FA0"/>
    <w:rsid w:val="00162BED"/>
    <w:rsid w:val="001A7657"/>
    <w:rsid w:val="001E5343"/>
    <w:rsid w:val="00236FC2"/>
    <w:rsid w:val="00364816"/>
    <w:rsid w:val="003E3E1E"/>
    <w:rsid w:val="003F4CEC"/>
    <w:rsid w:val="003F723C"/>
    <w:rsid w:val="00413DFC"/>
    <w:rsid w:val="00423656"/>
    <w:rsid w:val="004B5140"/>
    <w:rsid w:val="004D12A6"/>
    <w:rsid w:val="004F7FCB"/>
    <w:rsid w:val="005616D4"/>
    <w:rsid w:val="005669A5"/>
    <w:rsid w:val="005A615C"/>
    <w:rsid w:val="00620730"/>
    <w:rsid w:val="00627B2A"/>
    <w:rsid w:val="006A5316"/>
    <w:rsid w:val="006B0003"/>
    <w:rsid w:val="006B6BD1"/>
    <w:rsid w:val="006C1AA2"/>
    <w:rsid w:val="00731449"/>
    <w:rsid w:val="007A6BD0"/>
    <w:rsid w:val="007E5D69"/>
    <w:rsid w:val="00874DD4"/>
    <w:rsid w:val="00880B90"/>
    <w:rsid w:val="008C40AC"/>
    <w:rsid w:val="008F1A8D"/>
    <w:rsid w:val="008F71F3"/>
    <w:rsid w:val="00962EF2"/>
    <w:rsid w:val="00997B30"/>
    <w:rsid w:val="00A262CF"/>
    <w:rsid w:val="00A34949"/>
    <w:rsid w:val="00A65E20"/>
    <w:rsid w:val="00A71A0F"/>
    <w:rsid w:val="00A84D11"/>
    <w:rsid w:val="00AA5EB7"/>
    <w:rsid w:val="00AF57A0"/>
    <w:rsid w:val="00B44A95"/>
    <w:rsid w:val="00B8042E"/>
    <w:rsid w:val="00BE19EB"/>
    <w:rsid w:val="00C1667B"/>
    <w:rsid w:val="00C41FB7"/>
    <w:rsid w:val="00C45197"/>
    <w:rsid w:val="00D22992"/>
    <w:rsid w:val="00D30E8D"/>
    <w:rsid w:val="00DB6CCA"/>
    <w:rsid w:val="00DE47F6"/>
    <w:rsid w:val="00E43DCB"/>
    <w:rsid w:val="00EE5449"/>
    <w:rsid w:val="00F667F1"/>
    <w:rsid w:val="00F81646"/>
    <w:rsid w:val="00FE2F6B"/>
    <w:rsid w:val="00FE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A583"/>
  <w15:chartTrackingRefBased/>
  <w15:docId w15:val="{FC65C8B3-8E83-4AE2-9717-520D22AD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6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66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6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66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7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6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E20"/>
    <w:rPr>
      <w:color w:val="800080" w:themeColor="followedHyperlink"/>
      <w:u w:val="single"/>
    </w:rPr>
  </w:style>
  <w:style w:type="character" w:customStyle="1" w:styleId="v9tjod">
    <w:name w:val="v9tjod"/>
    <w:basedOn w:val="DefaultParagraphFont"/>
    <w:rsid w:val="00962EF2"/>
  </w:style>
  <w:style w:type="character" w:customStyle="1" w:styleId="vuuxrf">
    <w:name w:val="vuuxrf"/>
    <w:basedOn w:val="DefaultParagraphFont"/>
    <w:rsid w:val="00962EF2"/>
  </w:style>
  <w:style w:type="character" w:styleId="HTMLCite">
    <w:name w:val="HTML Cite"/>
    <w:basedOn w:val="DefaultParagraphFont"/>
    <w:uiPriority w:val="99"/>
    <w:semiHidden/>
    <w:unhideWhenUsed/>
    <w:rsid w:val="00962EF2"/>
    <w:rPr>
      <w:i/>
      <w:iCs/>
    </w:rPr>
  </w:style>
  <w:style w:type="character" w:customStyle="1" w:styleId="ylgvce">
    <w:name w:val="ylgvce"/>
    <w:basedOn w:val="DefaultParagraphFont"/>
    <w:rsid w:val="00962EF2"/>
  </w:style>
  <w:style w:type="character" w:customStyle="1" w:styleId="yrbpuc">
    <w:name w:val="yrbpuc"/>
    <w:basedOn w:val="DefaultParagraphFont"/>
    <w:rsid w:val="00962EF2"/>
  </w:style>
  <w:style w:type="character" w:styleId="Emphasis">
    <w:name w:val="Emphasis"/>
    <w:basedOn w:val="DefaultParagraphFont"/>
    <w:uiPriority w:val="20"/>
    <w:qFormat/>
    <w:rsid w:val="00962EF2"/>
    <w:rPr>
      <w:i/>
      <w:iCs/>
    </w:rPr>
  </w:style>
  <w:style w:type="character" w:customStyle="1" w:styleId="t286pc">
    <w:name w:val="t286pc"/>
    <w:basedOn w:val="DefaultParagraphFont"/>
    <w:rsid w:val="00962EF2"/>
  </w:style>
  <w:style w:type="character" w:customStyle="1" w:styleId="vkekvd">
    <w:name w:val="vkekvd"/>
    <w:basedOn w:val="DefaultParagraphFont"/>
    <w:rsid w:val="00962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upremecourt.gov/opinions/22pdf/21-1449_d9eh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w.cornell.edu/uscode/text/20/794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dsource.org/2025/lawsuit-lausd-online-learning/740022" TargetMode="External"/><Relationship Id="rId10" Type="http://schemas.openxmlformats.org/officeDocument/2006/relationships/hyperlink" Target="https://leg.wa.gov/jlarc/reports/2023/k12racialequity/f_c/defaul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83105bac496dfc01&amp;rlz=1C1CHBF_enUS767US767&amp;sxsrf=AE3TifMAJ89WEu6P4P_3mgPwVzo9s5Uigg:1757604632014&amp;q=can+a+union+be+held+liable+for+%22damages%22+caused+by+lobbying&amp;sa=X&amp;ved=2ahUKEwjOu_y9g9GPAxVoITQIHbXiNscQ5t4CegQISx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8836</TotalTime>
  <Pages>5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</cp:revision>
  <dcterms:created xsi:type="dcterms:W3CDTF">2025-09-05T18:34:00Z</dcterms:created>
  <dcterms:modified xsi:type="dcterms:W3CDTF">2025-09-11T23:20:00Z</dcterms:modified>
</cp:coreProperties>
</file>