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2675" w14:textId="77777777" w:rsidR="001B0D58" w:rsidRPr="001B0D58" w:rsidRDefault="001B0D58" w:rsidP="001B0D58">
      <w:pPr>
        <w:rPr>
          <w:b/>
          <w:bCs/>
        </w:rPr>
      </w:pPr>
      <w:r w:rsidRPr="001B0D58">
        <w:rPr>
          <w:b/>
          <w:bCs/>
        </w:rPr>
        <w:t>K-12 Pipeline Forensic Audit &amp; Architectural Governance Document</w:t>
      </w:r>
    </w:p>
    <w:p w14:paraId="76272DF1" w14:textId="77777777" w:rsidR="001B0D58" w:rsidRPr="001B0D58" w:rsidRDefault="001B0D58" w:rsidP="001B0D58">
      <w:pPr>
        <w:rPr>
          <w:b/>
          <w:bCs/>
        </w:rPr>
      </w:pPr>
      <w:r w:rsidRPr="001B0D58">
        <w:rPr>
          <w:b/>
          <w:bCs/>
        </w:rPr>
        <w:t>Part 1: Standard Work &amp; Rules of Engagement</w:t>
      </w:r>
    </w:p>
    <w:p w14:paraId="581A75C7" w14:textId="77777777" w:rsidR="001B0D58" w:rsidRPr="001B0D58" w:rsidRDefault="001B0D58" w:rsidP="001B0D58">
      <w:r w:rsidRPr="001B0D58">
        <w:rPr>
          <w:i/>
          <w:iCs/>
        </w:rPr>
        <w:t>The foundational logic and processing rules established to ensure an unbiased, mathematically verifiable audit of K-12 public education.</w:t>
      </w:r>
    </w:p>
    <w:p w14:paraId="0A253D9F" w14:textId="77777777" w:rsidR="001B0D58" w:rsidRPr="001B0D58" w:rsidRDefault="001B0D58" w:rsidP="001B0D58">
      <w:pPr>
        <w:numPr>
          <w:ilvl w:val="0"/>
          <w:numId w:val="1"/>
        </w:numPr>
      </w:pPr>
      <w:r w:rsidRPr="001B0D58">
        <w:rPr>
          <w:b/>
          <w:bCs/>
        </w:rPr>
        <w:t>The Statutory Constraint (The Definition of Yield):</w:t>
      </w:r>
      <w:r w:rsidRPr="001B0D58">
        <w:t xml:space="preserve"> The system’s mandated objective is the production of a citizen equipped for "college, career, and civic life." The state-mandated Smarter Balanced Assessments (SBAC) act as the definitive, legal arbiter of this quality.</w:t>
      </w:r>
    </w:p>
    <w:p w14:paraId="51B9A692" w14:textId="77777777" w:rsidR="001B0D58" w:rsidRPr="001B0D58" w:rsidRDefault="001B0D58" w:rsidP="001B0D58">
      <w:pPr>
        <w:numPr>
          <w:ilvl w:val="0"/>
          <w:numId w:val="1"/>
        </w:numPr>
      </w:pPr>
      <w:r w:rsidRPr="001B0D58">
        <w:rPr>
          <w:b/>
          <w:bCs/>
        </w:rPr>
        <w:t>The Tri-Factor Bottleneck:</w:t>
      </w:r>
      <w:r w:rsidRPr="001B0D58">
        <w:t xml:space="preserve"> Success requires proficiency in Math, ELA, and Science. Because Math consistently demonstrates the highest defect rate across the "All Students" subgroup, it is treated as the system’s primary constraint. A failure in Math renders the unit defective against the statutory requirement for quantitative civic engagement.</w:t>
      </w:r>
    </w:p>
    <w:p w14:paraId="5A381684" w14:textId="77777777" w:rsidR="001B0D58" w:rsidRPr="001B0D58" w:rsidRDefault="001B0D58" w:rsidP="001B0D58">
      <w:pPr>
        <w:numPr>
          <w:ilvl w:val="0"/>
          <w:numId w:val="1"/>
        </w:numPr>
      </w:pPr>
      <w:r w:rsidRPr="001B0D58">
        <w:rPr>
          <w:b/>
          <w:bCs/>
        </w:rPr>
        <w:t>The Fully Burdened Cost (The Denominator Rule):</w:t>
      </w:r>
      <w:r w:rsidRPr="001B0D58">
        <w:t xml:space="preserve"> Pipeline costs are never calculated using year-over-year tracking, as FERPA redactions and normal geographic churn make individual unit tracking impossible. Instead, the total historical K-10 financial inputs (S-275 and expenditures) are divided strictly by the surviving 10th-grade "Expected to Test" population. The financial weight of all systemic churn and dropouts is automatically absorbed into the final per-unit cost of the surviving cohort.</w:t>
      </w:r>
    </w:p>
    <w:p w14:paraId="34C499E0" w14:textId="77777777" w:rsidR="001B0D58" w:rsidRPr="001B0D58" w:rsidRDefault="001B0D58" w:rsidP="001B0D58">
      <w:pPr>
        <w:numPr>
          <w:ilvl w:val="0"/>
          <w:numId w:val="1"/>
        </w:numPr>
      </w:pPr>
      <w:r w:rsidRPr="001B0D58">
        <w:rPr>
          <w:b/>
          <w:bCs/>
        </w:rPr>
        <w:t>Labor Cost Normalization:</w:t>
      </w:r>
      <w:r w:rsidRPr="001B0D58">
        <w:t xml:space="preserve"> To allow a direct, accurate comparison with the "average Joe’s" annual salary, all K-12 labor costs are normalized against a standard 2,080-hour work year.</w:t>
      </w:r>
    </w:p>
    <w:p w14:paraId="754FEAA2" w14:textId="77777777" w:rsidR="001B0D58" w:rsidRPr="001B0D58" w:rsidRDefault="001B0D58" w:rsidP="001B0D58">
      <w:pPr>
        <w:numPr>
          <w:ilvl w:val="0"/>
          <w:numId w:val="1"/>
        </w:numPr>
      </w:pPr>
      <w:r w:rsidRPr="001B0D58">
        <w:rPr>
          <w:b/>
          <w:bCs/>
        </w:rPr>
        <w:t>The Redaction Interpolation Rule:</w:t>
      </w:r>
      <w:r w:rsidRPr="001B0D58">
        <w:t xml:space="preserve"> Federal FERPA rules force the suppression of data at the extremes (e.g., &lt;10% or &gt;90%). This structural invisibility is addressed by using interpolated proxy values, explicitly flagged in the architecture to maintain a continuous cohort view without hallucinating missing units.</w:t>
      </w:r>
    </w:p>
    <w:p w14:paraId="15E934E7" w14:textId="77777777" w:rsidR="001B0D58" w:rsidRPr="001B0D58" w:rsidRDefault="001B0D58" w:rsidP="001B0D58">
      <w:pPr>
        <w:rPr>
          <w:b/>
          <w:bCs/>
        </w:rPr>
      </w:pPr>
      <w:r w:rsidRPr="001B0D58">
        <w:rPr>
          <w:b/>
          <w:bCs/>
        </w:rPr>
        <w:t>Part 2: The Translation Layer &amp; Poka-Yoke Architecture</w:t>
      </w:r>
    </w:p>
    <w:p w14:paraId="2E9F32B3" w14:textId="77777777" w:rsidR="001B0D58" w:rsidRPr="001B0D58" w:rsidRDefault="001B0D58" w:rsidP="001B0D58">
      <w:r w:rsidRPr="001B0D58">
        <w:rPr>
          <w:i/>
          <w:iCs/>
        </w:rPr>
        <w:t xml:space="preserve">The structural </w:t>
      </w:r>
      <w:proofErr w:type="spellStart"/>
      <w:r w:rsidRPr="001B0D58">
        <w:rPr>
          <w:i/>
          <w:iCs/>
        </w:rPr>
        <w:t>failsafes</w:t>
      </w:r>
      <w:proofErr w:type="spellEnd"/>
      <w:r w:rsidRPr="001B0D58">
        <w:rPr>
          <w:i/>
          <w:iCs/>
        </w:rPr>
        <w:t xml:space="preserve"> built to prevent processing failures and ensure query accuracy across competing state ledgers.</w:t>
      </w:r>
    </w:p>
    <w:p w14:paraId="2C68BA05" w14:textId="77777777" w:rsidR="001B0D58" w:rsidRPr="001B0D58" w:rsidRDefault="001B0D58" w:rsidP="001B0D58">
      <w:pPr>
        <w:numPr>
          <w:ilvl w:val="0"/>
          <w:numId w:val="2"/>
        </w:numPr>
      </w:pPr>
      <w:r w:rsidRPr="001B0D58">
        <w:rPr>
          <w:b/>
          <w:bCs/>
        </w:rPr>
        <w:t>The Master Entity Dictionary:</w:t>
      </w:r>
      <w:r w:rsidRPr="001B0D58">
        <w:t xml:space="preserve"> The architecture strictly segregates the plain-English human interface from OSPI’s competing primary keys (the Financial </w:t>
      </w:r>
      <w:proofErr w:type="spellStart"/>
      <w:r w:rsidRPr="001B0D58">
        <w:t>orgCode</w:t>
      </w:r>
      <w:proofErr w:type="spellEnd"/>
      <w:r w:rsidRPr="001B0D58">
        <w:t xml:space="preserve"> vs. </w:t>
      </w:r>
      <w:r w:rsidRPr="001B0D58">
        <w:lastRenderedPageBreak/>
        <w:t xml:space="preserve">Assessment </w:t>
      </w:r>
      <w:proofErr w:type="spellStart"/>
      <w:r w:rsidRPr="001B0D58">
        <w:t>orgID</w:t>
      </w:r>
      <w:proofErr w:type="spellEnd"/>
      <w:r w:rsidRPr="001B0D58">
        <w:t>). A flattened dictionary collapses OSPI's 7-column schema and assigns a single, universal LSS_UID to every physical entity.</w:t>
      </w:r>
    </w:p>
    <w:p w14:paraId="48B5261C" w14:textId="77777777" w:rsidR="001B0D58" w:rsidRPr="001B0D58" w:rsidRDefault="001B0D58" w:rsidP="001B0D58">
      <w:pPr>
        <w:numPr>
          <w:ilvl w:val="0"/>
          <w:numId w:val="2"/>
        </w:numPr>
      </w:pPr>
      <w:r w:rsidRPr="001B0D58">
        <w:rPr>
          <w:b/>
          <w:bCs/>
        </w:rPr>
        <w:t>String Mutation Control:</w:t>
      </w:r>
      <w:r w:rsidRPr="001B0D58">
        <w:t xml:space="preserve"> A forensic baseline extraction revealed over 3,700 records for approximately 2,940 physical schools due to historical naming truncations and administrative appends (e.g., "Closed after 2014"). The ETL process groups strictly by </w:t>
      </w:r>
      <w:proofErr w:type="spellStart"/>
      <w:r w:rsidRPr="001B0D58">
        <w:t>SchoolOrganizationid</w:t>
      </w:r>
      <w:proofErr w:type="spellEnd"/>
      <w:r w:rsidRPr="001B0D58">
        <w:t>, retaining only the most recent nomenclature to prevent fractured cohort pipelines.</w:t>
      </w:r>
    </w:p>
    <w:p w14:paraId="6883E745" w14:textId="77777777" w:rsidR="001B0D58" w:rsidRPr="001B0D58" w:rsidRDefault="001B0D58" w:rsidP="001B0D58">
      <w:pPr>
        <w:numPr>
          <w:ilvl w:val="0"/>
          <w:numId w:val="2"/>
        </w:numPr>
      </w:pPr>
      <w:r w:rsidRPr="001B0D58">
        <w:rPr>
          <w:b/>
          <w:bCs/>
        </w:rPr>
        <w:t>The Charter Flag (Peer-to-Peer Benchmarking):</w:t>
      </w:r>
      <w:r w:rsidRPr="001B0D58">
        <w:t xml:space="preserve"> Charter schools act as sovereign districts but are barred from local levy funds, operating with roughly 25% fewer financial inputs. Because the state codes them with the exact same </w:t>
      </w:r>
      <w:proofErr w:type="spellStart"/>
      <w:r w:rsidRPr="001B0D58">
        <w:t>CurrentSchoolType</w:t>
      </w:r>
      <w:proofErr w:type="spellEnd"/>
      <w:r w:rsidRPr="001B0D58">
        <w:t xml:space="preserve"> ("P" for Public) as traditional schools, naive county-wide averages will fatally mix these two distinct manufacturing lines. A hardcoded </w:t>
      </w:r>
      <w:proofErr w:type="spellStart"/>
      <w:r w:rsidRPr="001B0D58">
        <w:t>Charter_Flag</w:t>
      </w:r>
      <w:proofErr w:type="spellEnd"/>
      <w:r w:rsidRPr="001B0D58">
        <w:t xml:space="preserve"> in the dictionary acts as an automated tripwire, forcing the separation of lottery-funded charters from levy-funded public schools for accurate benchmarking.</w:t>
      </w:r>
    </w:p>
    <w:p w14:paraId="274C3FDF" w14:textId="77777777" w:rsidR="001B0D58" w:rsidRPr="001B0D58" w:rsidRDefault="001B0D58" w:rsidP="001B0D58">
      <w:pPr>
        <w:rPr>
          <w:b/>
          <w:bCs/>
        </w:rPr>
      </w:pPr>
      <w:r w:rsidRPr="001B0D58">
        <w:rPr>
          <w:b/>
          <w:bCs/>
        </w:rPr>
        <w:t>Part 3: Scope Boundaries &amp; System Defect Management</w:t>
      </w:r>
    </w:p>
    <w:p w14:paraId="333B26E1" w14:textId="77777777" w:rsidR="001B0D58" w:rsidRPr="001B0D58" w:rsidRDefault="001B0D58" w:rsidP="001B0D58">
      <w:r w:rsidRPr="001B0D58">
        <w:rPr>
          <w:i/>
          <w:iCs/>
        </w:rPr>
        <w:t>Anomalies and bureaucratic masking discovered during the initial Measurement System Analysis (MSA).</w:t>
      </w:r>
    </w:p>
    <w:p w14:paraId="7F4F498B" w14:textId="77777777" w:rsidR="001B0D58" w:rsidRPr="001B0D58" w:rsidRDefault="001B0D58" w:rsidP="001B0D58">
      <w:pPr>
        <w:numPr>
          <w:ilvl w:val="0"/>
          <w:numId w:val="3"/>
        </w:numPr>
      </w:pPr>
      <w:r w:rsidRPr="001B0D58">
        <w:rPr>
          <w:b/>
          <w:bCs/>
        </w:rPr>
        <w:t>The ESD Masquerade &amp; Severe Defect Offloading:</w:t>
      </w:r>
      <w:r w:rsidRPr="001B0D58">
        <w:t xml:space="preserve"> Analysis revealed instances where Educational Service Districts (ESDs) ceased acting as regional support centers and registered as dummy districts. These shadow districts predominantly house Type "R" (Dropout Re-engagement) and Type "J" (Juvenile Detention) facilities.</w:t>
      </w:r>
    </w:p>
    <w:p w14:paraId="1FC56876" w14:textId="77777777" w:rsidR="001B0D58" w:rsidRPr="001B0D58" w:rsidRDefault="001B0D58" w:rsidP="001B0D58">
      <w:pPr>
        <w:numPr>
          <w:ilvl w:val="0"/>
          <w:numId w:val="3"/>
        </w:numPr>
      </w:pPr>
      <w:r w:rsidRPr="001B0D58">
        <w:rPr>
          <w:b/>
          <w:bCs/>
        </w:rPr>
        <w:t>Strict Scope Boundary (Type P Only):</w:t>
      </w:r>
      <w:r w:rsidRPr="001B0D58">
        <w:t xml:space="preserve"> To prevent districts from deploying a "societal defect" defense, the baseline data extraction is strictly limited to </w:t>
      </w:r>
      <w:r w:rsidRPr="001B0D58">
        <w:rPr>
          <w:b/>
          <w:bCs/>
        </w:rPr>
        <w:t>Type P (Public)</w:t>
      </w:r>
      <w:r w:rsidRPr="001B0D58">
        <w:t xml:space="preserve"> traditional and charter schools. Type R and Type J facilities are excluded from the baseline. This forces traditional districts to own their original cohorts; the cost of units lost to the juvenile or dropout systems is mathematically absorbed as yield loss within the Type P financial denominator.</w:t>
      </w:r>
    </w:p>
    <w:p w14:paraId="73454038" w14:textId="77777777" w:rsidR="001B0D58" w:rsidRPr="001B0D58" w:rsidRDefault="001B0D58" w:rsidP="001B0D58">
      <w:pPr>
        <w:numPr>
          <w:ilvl w:val="0"/>
          <w:numId w:val="3"/>
        </w:numPr>
      </w:pPr>
      <w:r w:rsidRPr="001B0D58">
        <w:rPr>
          <w:b/>
          <w:bCs/>
        </w:rPr>
        <w:t>The "Frozen Ear" Revelation:</w:t>
      </w:r>
      <w:r w:rsidRPr="001B0D58">
        <w:t xml:space="preserve"> Direct admission from the State Board of Education confirmed that the "college-ready" 10th-grade SBAC is effectively a mid-year Algebra I test. Forensic auditing verified that 0% of the questions measure Cognitive Level 4 (Extended Strategic Modeling). The state's accepted QA gauge is currently incapable of measuring the statistical sovereignty required for actual civic engagement.</w:t>
      </w:r>
    </w:p>
    <w:p w14:paraId="2DDE7AEF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148D"/>
    <w:multiLevelType w:val="multilevel"/>
    <w:tmpl w:val="4B7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60A68"/>
    <w:multiLevelType w:val="multilevel"/>
    <w:tmpl w:val="E00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E3782"/>
    <w:multiLevelType w:val="multilevel"/>
    <w:tmpl w:val="6B1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85154">
    <w:abstractNumId w:val="2"/>
  </w:num>
  <w:num w:numId="2" w16cid:durableId="507139820">
    <w:abstractNumId w:val="0"/>
  </w:num>
  <w:num w:numId="3" w16cid:durableId="2100329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58"/>
    <w:rsid w:val="000E4F60"/>
    <w:rsid w:val="001B0D58"/>
    <w:rsid w:val="00740C71"/>
    <w:rsid w:val="00766701"/>
    <w:rsid w:val="00B7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5AD35"/>
  <w15:chartTrackingRefBased/>
  <w15:docId w15:val="{083840FB-E517-483C-83F7-78956BCC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2026-03-15T23:41:00Z</dcterms:created>
  <dcterms:modified xsi:type="dcterms:W3CDTF">2026-03-15T23:42:00Z</dcterms:modified>
</cp:coreProperties>
</file>