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8A33A" w14:textId="77777777" w:rsidR="001E68C3" w:rsidRPr="001E68C3" w:rsidRDefault="001E68C3" w:rsidP="001E68C3">
      <w:pPr>
        <w:rPr>
          <w:b/>
          <w:bCs/>
        </w:rPr>
      </w:pPr>
      <w:r w:rsidRPr="001E68C3">
        <w:rPr>
          <w:b/>
          <w:bCs/>
        </w:rPr>
        <w:t>Project Baseline &amp; Assumptions: LSS Methodology for K-12 Evaluation</w:t>
      </w:r>
    </w:p>
    <w:p w14:paraId="31FAB8EB" w14:textId="77777777" w:rsidR="001E68C3" w:rsidRPr="001E68C3" w:rsidRDefault="001E68C3" w:rsidP="001E68C3">
      <w:pPr>
        <w:rPr>
          <w:b/>
          <w:bCs/>
        </w:rPr>
      </w:pPr>
      <w:r w:rsidRPr="001E68C3">
        <w:rPr>
          <w:b/>
          <w:bCs/>
        </w:rPr>
        <w:t>Index of Foundational Decisions</w:t>
      </w:r>
    </w:p>
    <w:p w14:paraId="7A94E8D5" w14:textId="77777777" w:rsidR="001E68C3" w:rsidRPr="001E68C3" w:rsidRDefault="001E68C3" w:rsidP="001E68C3">
      <w:pPr>
        <w:numPr>
          <w:ilvl w:val="0"/>
          <w:numId w:val="1"/>
        </w:numPr>
      </w:pPr>
      <w:r w:rsidRPr="001E68C3">
        <w:rPr>
          <w:b/>
          <w:bCs/>
        </w:rPr>
        <w:t>Personnel Data:</w:t>
      </w:r>
      <w:r w:rsidRPr="001E68C3">
        <w:t xml:space="preserve"> The "Math Teacher" Identification Constraint</w:t>
      </w:r>
    </w:p>
    <w:p w14:paraId="3DB52EF0" w14:textId="77777777" w:rsidR="001E68C3" w:rsidRPr="001E68C3" w:rsidRDefault="001E68C3" w:rsidP="001E68C3">
      <w:pPr>
        <w:numPr>
          <w:ilvl w:val="0"/>
          <w:numId w:val="1"/>
        </w:numPr>
      </w:pPr>
      <w:r w:rsidRPr="001E68C3">
        <w:rPr>
          <w:b/>
          <w:bCs/>
        </w:rPr>
        <w:t>Workforce Engineering:</w:t>
      </w:r>
      <w:r w:rsidRPr="001E68C3">
        <w:t xml:space="preserve"> The Teacher Qualification Disconnect</w:t>
      </w:r>
    </w:p>
    <w:p w14:paraId="6AD674E4" w14:textId="77777777" w:rsidR="001E68C3" w:rsidRPr="001E68C3" w:rsidRDefault="001E68C3" w:rsidP="001E68C3">
      <w:pPr>
        <w:numPr>
          <w:ilvl w:val="0"/>
          <w:numId w:val="1"/>
        </w:numPr>
      </w:pPr>
      <w:r w:rsidRPr="001E68C3">
        <w:rPr>
          <w:b/>
          <w:bCs/>
        </w:rPr>
        <w:t>Process Flow:</w:t>
      </w:r>
      <w:r w:rsidRPr="001E68C3">
        <w:t xml:space="preserve"> The Instructional Focus Disconnect (Batch vs. Continuous Flow)</w:t>
      </w:r>
    </w:p>
    <w:p w14:paraId="404F4883" w14:textId="77777777" w:rsidR="001E68C3" w:rsidRPr="001E68C3" w:rsidRDefault="001E68C3" w:rsidP="001E68C3">
      <w:pPr>
        <w:numPr>
          <w:ilvl w:val="0"/>
          <w:numId w:val="1"/>
        </w:numPr>
      </w:pPr>
      <w:r w:rsidRPr="001E68C3">
        <w:rPr>
          <w:b/>
          <w:bCs/>
        </w:rPr>
        <w:t>Core Metrics:</w:t>
      </w:r>
      <w:r w:rsidRPr="001E68C3">
        <w:t xml:space="preserve"> Choosing Math &amp; Eliminating Subgroup Disaggregation</w:t>
      </w:r>
    </w:p>
    <w:p w14:paraId="3C9DA2D4" w14:textId="77777777" w:rsidR="001E68C3" w:rsidRPr="001E68C3" w:rsidRDefault="001E68C3" w:rsidP="001E68C3">
      <w:r w:rsidRPr="001E68C3">
        <w:pict w14:anchorId="0F17D87B">
          <v:rect id="_x0000_i1031" style="width:0;height:1.5pt" o:hralign="center" o:hrstd="t" o:hr="t" fillcolor="#a0a0a0" stroked="f"/>
        </w:pict>
      </w:r>
    </w:p>
    <w:p w14:paraId="067C85AC" w14:textId="77777777" w:rsidR="001E68C3" w:rsidRPr="001E68C3" w:rsidRDefault="001E68C3" w:rsidP="001E68C3">
      <w:pPr>
        <w:rPr>
          <w:b/>
          <w:bCs/>
        </w:rPr>
      </w:pPr>
      <w:r w:rsidRPr="001E68C3">
        <w:rPr>
          <w:b/>
          <w:bCs/>
        </w:rPr>
        <w:t>1. Personnel Data: The "Math Teacher" Identification Constraint</w:t>
      </w:r>
    </w:p>
    <w:p w14:paraId="7220C51D" w14:textId="77777777" w:rsidR="001E68C3" w:rsidRPr="001E68C3" w:rsidRDefault="001E68C3" w:rsidP="001E68C3">
      <w:r w:rsidRPr="001E68C3">
        <w:rPr>
          <w:b/>
          <w:bCs/>
        </w:rPr>
        <w:t>The Question:</w:t>
      </w:r>
      <w:r w:rsidRPr="001E68C3">
        <w:t xml:space="preserve"> Can we isolate "math teachers" and their specific resource allocations within the state’s S-275 personnel and financial reporting data to map the math value stream?</w:t>
      </w:r>
    </w:p>
    <w:p w14:paraId="6E36DB20" w14:textId="77777777" w:rsidR="001E68C3" w:rsidRPr="001E68C3" w:rsidRDefault="001E68C3" w:rsidP="001E68C3">
      <w:r w:rsidRPr="001E68C3">
        <w:rPr>
          <w:b/>
          <w:bCs/>
        </w:rPr>
        <w:t>The Conclusion:</w:t>
      </w:r>
      <w:r w:rsidRPr="001E68C3">
        <w:t xml:space="preserve"> No. The project will not filter or subset financial/personnel data by a "math teacher" designation.</w:t>
      </w:r>
    </w:p>
    <w:p w14:paraId="4981428D" w14:textId="77777777" w:rsidR="001E68C3" w:rsidRPr="001E68C3" w:rsidRDefault="001E68C3" w:rsidP="001E68C3">
      <w:pPr>
        <w:numPr>
          <w:ilvl w:val="0"/>
          <w:numId w:val="2"/>
        </w:numPr>
      </w:pPr>
      <w:r w:rsidRPr="001E68C3">
        <w:rPr>
          <w:b/>
          <w:bCs/>
        </w:rPr>
        <w:t>The Logic:</w:t>
      </w:r>
      <w:r w:rsidRPr="001E68C3">
        <w:t xml:space="preserve"> The Washington State S-275 data relies on generic Duty Roots and Assignment Codes. In the foundational levels (elementary and middle school), the state does not use subject-specific codes to track who is teaching math. Educators are grouped into broad categories (e.g., "Elementary Teacher").</w:t>
      </w:r>
    </w:p>
    <w:p w14:paraId="7EE2F2A9" w14:textId="77777777" w:rsidR="001E68C3" w:rsidRPr="001E68C3" w:rsidRDefault="001E68C3" w:rsidP="001E68C3">
      <w:pPr>
        <w:numPr>
          <w:ilvl w:val="0"/>
          <w:numId w:val="2"/>
        </w:numPr>
      </w:pPr>
      <w:r w:rsidRPr="001E68C3">
        <w:rPr>
          <w:b/>
          <w:bCs/>
        </w:rPr>
        <w:t>LSS Impact:</w:t>
      </w:r>
      <w:r w:rsidRPr="001E68C3">
        <w:t xml:space="preserve"> Because the state does not structurally differentiate this in their financial reporting, we cannot accurately map the financial inputs specifically dedicated to the "math" value stream. Attempting to force this filter would result in incomplete and inaccurate resource models.</w:t>
      </w:r>
    </w:p>
    <w:p w14:paraId="63843C9F" w14:textId="77777777" w:rsidR="001E68C3" w:rsidRPr="001E68C3" w:rsidRDefault="001E68C3" w:rsidP="001E68C3">
      <w:pPr>
        <w:rPr>
          <w:b/>
          <w:bCs/>
        </w:rPr>
      </w:pPr>
      <w:r w:rsidRPr="001E68C3">
        <w:rPr>
          <w:b/>
          <w:bCs/>
        </w:rPr>
        <w:t>2. Workforce Engineering: The Teacher Qualification Disconnect</w:t>
      </w:r>
    </w:p>
    <w:p w14:paraId="63168A15" w14:textId="77777777" w:rsidR="001E68C3" w:rsidRPr="001E68C3" w:rsidRDefault="001E68C3" w:rsidP="001E68C3">
      <w:r w:rsidRPr="001E68C3">
        <w:rPr>
          <w:b/>
          <w:bCs/>
        </w:rPr>
        <w:t>The Question:</w:t>
      </w:r>
      <w:r w:rsidRPr="001E68C3">
        <w:t xml:space="preserve"> Are generalist educators in foundational grades (K-8) adequately qualified to teach mathematics to a level that prepares students for "sovereign-level" capability, and how do state certification standards impact this?</w:t>
      </w:r>
    </w:p>
    <w:p w14:paraId="72BC3E2A" w14:textId="77777777" w:rsidR="001E68C3" w:rsidRPr="001E68C3" w:rsidRDefault="001E68C3" w:rsidP="001E68C3">
      <w:r w:rsidRPr="001E68C3">
        <w:rPr>
          <w:b/>
          <w:bCs/>
        </w:rPr>
        <w:t>The Conclusion:</w:t>
      </w:r>
      <w:r w:rsidRPr="001E68C3">
        <w:t xml:space="preserve"> The system legally tolerates mathematical deficiency within its general workforce, severely compromising the foundational inputs.</w:t>
      </w:r>
    </w:p>
    <w:p w14:paraId="3AA9B8BC" w14:textId="77777777" w:rsidR="001E68C3" w:rsidRPr="001E68C3" w:rsidRDefault="001E68C3" w:rsidP="001E68C3">
      <w:pPr>
        <w:numPr>
          <w:ilvl w:val="0"/>
          <w:numId w:val="3"/>
        </w:numPr>
      </w:pPr>
      <w:r w:rsidRPr="001E68C3">
        <w:rPr>
          <w:b/>
          <w:bCs/>
        </w:rPr>
        <w:t>The Logic:</w:t>
      </w:r>
      <w:r w:rsidRPr="001E68C3">
        <w:t xml:space="preserve"> Historically, state certification (WEST-B) only required basic adult numeracy (roughly 8th-grade proficiency). Furthermore, post-2019 legislation (HB 1621) removed the requirement to achieve a passing score on the math section </w:t>
      </w:r>
      <w:r w:rsidRPr="001E68C3">
        <w:lastRenderedPageBreak/>
        <w:t>entirely. The majority of elementary and middle school educators are generalists with a low ceiling of mandatory math training.</w:t>
      </w:r>
    </w:p>
    <w:p w14:paraId="1C20D84B" w14:textId="77777777" w:rsidR="001E68C3" w:rsidRPr="001E68C3" w:rsidRDefault="001E68C3" w:rsidP="001E68C3">
      <w:pPr>
        <w:numPr>
          <w:ilvl w:val="0"/>
          <w:numId w:val="3"/>
        </w:numPr>
      </w:pPr>
      <w:r w:rsidRPr="001E68C3">
        <w:rPr>
          <w:b/>
          <w:bCs/>
        </w:rPr>
        <w:t>LSS Impact:</w:t>
      </w:r>
      <w:r w:rsidRPr="001E68C3">
        <w:t xml:space="preserve"> In a multi-step process, early-stage defects compound. If the foundational math concepts are taught by operators who lack deep subject-matter expertise, the defects multiply before the student ever reaches high school. The failures observed at the high school inspection point (SBAC Math / Algebra I) are the delayed result of this foundational supplier input defect.</w:t>
      </w:r>
    </w:p>
    <w:p w14:paraId="3316807A" w14:textId="77777777" w:rsidR="001E68C3" w:rsidRPr="001E68C3" w:rsidRDefault="001E68C3" w:rsidP="001E68C3">
      <w:pPr>
        <w:rPr>
          <w:b/>
          <w:bCs/>
        </w:rPr>
      </w:pPr>
      <w:r w:rsidRPr="001E68C3">
        <w:rPr>
          <w:b/>
          <w:bCs/>
        </w:rPr>
        <w:t>3. Process Flow: The Instructional Focus Disconnect</w:t>
      </w:r>
    </w:p>
    <w:p w14:paraId="014B89E3" w14:textId="77777777" w:rsidR="001E68C3" w:rsidRPr="001E68C3" w:rsidRDefault="001E68C3" w:rsidP="001E68C3">
      <w:r w:rsidRPr="001E68C3">
        <w:rPr>
          <w:b/>
          <w:bCs/>
        </w:rPr>
        <w:t>The Question:</w:t>
      </w:r>
      <w:r w:rsidRPr="001E68C3">
        <w:t xml:space="preserve"> Why does ELA performance consistently outpace Math performance by roughly 50% across the state, and how does the daily instructional model contribute to this variance?</w:t>
      </w:r>
    </w:p>
    <w:p w14:paraId="49F57A78" w14:textId="77777777" w:rsidR="001E68C3" w:rsidRPr="001E68C3" w:rsidRDefault="001E68C3" w:rsidP="001E68C3">
      <w:r w:rsidRPr="001E68C3">
        <w:rPr>
          <w:b/>
          <w:bCs/>
        </w:rPr>
        <w:t>The Conclusion:</w:t>
      </w:r>
      <w:r w:rsidRPr="001E68C3">
        <w:t xml:space="preserve"> ELA is structured as a continuous flow process, whereas Math is restricted to a highly constrained batch process.</w:t>
      </w:r>
    </w:p>
    <w:p w14:paraId="69681F7D" w14:textId="77777777" w:rsidR="001E68C3" w:rsidRPr="001E68C3" w:rsidRDefault="001E68C3" w:rsidP="001E68C3">
      <w:pPr>
        <w:numPr>
          <w:ilvl w:val="0"/>
          <w:numId w:val="4"/>
        </w:numPr>
      </w:pPr>
      <w:r w:rsidRPr="001E68C3">
        <w:rPr>
          <w:b/>
          <w:bCs/>
        </w:rPr>
        <w:t>The Logic:</w:t>
      </w:r>
      <w:r w:rsidRPr="001E68C3">
        <w:t xml:space="preserve"> ELA is practiced seamlessly across the entire 7.5-hour school day. Students read historical texts, write scientific hypotheses, and analyze social studies arguments. Math is heavily siloed into a dedicated 45-minute daily block and rarely integrated into other subjects.</w:t>
      </w:r>
    </w:p>
    <w:p w14:paraId="5A8CF82B" w14:textId="77777777" w:rsidR="001E68C3" w:rsidRPr="001E68C3" w:rsidRDefault="001E68C3" w:rsidP="001E68C3">
      <w:pPr>
        <w:numPr>
          <w:ilvl w:val="0"/>
          <w:numId w:val="4"/>
        </w:numPr>
      </w:pPr>
      <w:r w:rsidRPr="001E68C3">
        <w:rPr>
          <w:b/>
          <w:bCs/>
        </w:rPr>
        <w:t>LSS Impact:</w:t>
      </w:r>
      <w:r w:rsidRPr="001E68C3">
        <w:t xml:space="preserve"> Expecting sovereign-level mathematical fluency from a system that only allows the "language" to be spoken for 45 minutes a day is an inherently defective process design. To correct this, math must become a continuous flow integrated across all subjects, which ties directly back to the need to fix the general workforce qualifications (Point 2).</w:t>
      </w:r>
    </w:p>
    <w:p w14:paraId="36DD7902" w14:textId="4AF16DED" w:rsidR="00410E88" w:rsidRPr="00410E88" w:rsidRDefault="00410E88" w:rsidP="00410E88">
      <w:pPr>
        <w:rPr>
          <w:b/>
          <w:bCs/>
        </w:rPr>
      </w:pPr>
      <w:r w:rsidRPr="00410E88">
        <w:rPr>
          <w:b/>
          <w:bCs/>
        </w:rPr>
        <w:t>4. Core Metrics: Math as the Limiting Factor &amp; Eliminating Subgroups</w:t>
      </w:r>
    </w:p>
    <w:p w14:paraId="697809BB" w14:textId="77777777" w:rsidR="00410E88" w:rsidRPr="00410E88" w:rsidRDefault="00410E88" w:rsidP="00410E88">
      <w:pPr>
        <w:rPr>
          <w:b/>
          <w:bCs/>
        </w:rPr>
      </w:pPr>
      <w:r w:rsidRPr="00410E88">
        <w:rPr>
          <w:b/>
          <w:bCs/>
        </w:rPr>
        <w:t>The Question: Why are we using Math as the baseline measure for system success, and why are we intentionally refusing to disaggregate outcomes by demographic subgroups?</w:t>
      </w:r>
    </w:p>
    <w:p w14:paraId="3D1A3A21" w14:textId="77777777" w:rsidR="00410E88" w:rsidRPr="00410E88" w:rsidRDefault="00410E88" w:rsidP="00410E88">
      <w:pPr>
        <w:rPr>
          <w:b/>
          <w:bCs/>
        </w:rPr>
      </w:pPr>
      <w:r w:rsidRPr="00410E88">
        <w:rPr>
          <w:b/>
          <w:bCs/>
        </w:rPr>
        <w:t xml:space="preserve">The Conclusion: The system's objective is simultaneous proficiency in Math, ELA, </w:t>
      </w:r>
      <w:r w:rsidRPr="00410E88">
        <w:rPr>
          <w:b/>
          <w:bCs/>
          <w:i/>
          <w:iCs/>
        </w:rPr>
        <w:t>and</w:t>
      </w:r>
      <w:r w:rsidRPr="00410E88">
        <w:rPr>
          <w:b/>
          <w:bCs/>
        </w:rPr>
        <w:t xml:space="preserve"> Science. Because Math is the overwhelming underperformer, it dictates the maximum possible success rate of the entire system. Subgroup disaggregation is eliminated because it masks these aggregate process failures.</w:t>
      </w:r>
    </w:p>
    <w:p w14:paraId="3234CCBF" w14:textId="77777777" w:rsidR="00410E88" w:rsidRPr="00410E88" w:rsidRDefault="00410E88" w:rsidP="00410E88">
      <w:pPr>
        <w:numPr>
          <w:ilvl w:val="0"/>
          <w:numId w:val="6"/>
        </w:numPr>
        <w:rPr>
          <w:b/>
          <w:bCs/>
        </w:rPr>
      </w:pPr>
      <w:r w:rsidRPr="00410E88">
        <w:rPr>
          <w:b/>
          <w:bCs/>
        </w:rPr>
        <w:t>The Logic for Math: A unit (student) must meet standards in all core subjects; a defect in one is a defect in the product. Because public data is aggregated at the grade level, we cannot track cross-subject proficiency for individual students (e.g., isolating students who met Math but failed ELA). However, because Math consistently has the lowest proficiency rates by a wide margin, it acts as the system's bottleneck. The Math proficiency rate represents the "best case" maximum yield for overall, three-subject proficiency.</w:t>
      </w:r>
    </w:p>
    <w:p w14:paraId="2E9F7D2D" w14:textId="77777777" w:rsidR="00410E88" w:rsidRPr="00410E88" w:rsidRDefault="00410E88" w:rsidP="00410E88">
      <w:pPr>
        <w:numPr>
          <w:ilvl w:val="0"/>
          <w:numId w:val="6"/>
        </w:numPr>
        <w:rPr>
          <w:b/>
          <w:bCs/>
        </w:rPr>
      </w:pPr>
      <w:r w:rsidRPr="00410E88">
        <w:rPr>
          <w:b/>
          <w:bCs/>
        </w:rPr>
        <w:t xml:space="preserve">The Logic Against Subgroups: Lean Six Sigma evaluates the capability of the </w:t>
      </w:r>
      <w:r w:rsidRPr="00410E88">
        <w:rPr>
          <w:b/>
          <w:bCs/>
          <w:i/>
          <w:iCs/>
        </w:rPr>
        <w:t>process</w:t>
      </w:r>
      <w:r w:rsidRPr="00410E88">
        <w:rPr>
          <w:b/>
          <w:bCs/>
        </w:rPr>
        <w:t xml:space="preserve">, not the demographic profile of the </w:t>
      </w:r>
      <w:r w:rsidRPr="00410E88">
        <w:rPr>
          <w:b/>
          <w:bCs/>
          <w:i/>
          <w:iCs/>
        </w:rPr>
        <w:t>product</w:t>
      </w:r>
      <w:r w:rsidRPr="00410E88">
        <w:rPr>
          <w:b/>
          <w:bCs/>
        </w:rPr>
        <w:t xml:space="preserve">. Segmenting data by race, income, or zip code allows the organization to excuse variance and shift blame away from the system and onto the demographic variables. A defective process is defective regardless of who is moving through it. By looking at the aggregate, we force the focus to remain strictly on the system's operational capability to add value to </w:t>
      </w:r>
      <w:r w:rsidRPr="00410E88">
        <w:rPr>
          <w:b/>
          <w:bCs/>
          <w:i/>
          <w:iCs/>
        </w:rPr>
        <w:t>every</w:t>
      </w:r>
      <w:r w:rsidRPr="00410E88">
        <w:rPr>
          <w:b/>
          <w:bCs/>
        </w:rPr>
        <w:t xml:space="preserve"> unit it processes.</w:t>
      </w:r>
    </w:p>
    <w:p w14:paraId="2780B186" w14:textId="3791ED42" w:rsidR="00740C71" w:rsidRDefault="00740C71" w:rsidP="00410E88"/>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B2EF9"/>
    <w:multiLevelType w:val="multilevel"/>
    <w:tmpl w:val="7D2C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F4030"/>
    <w:multiLevelType w:val="multilevel"/>
    <w:tmpl w:val="4A92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D79F7"/>
    <w:multiLevelType w:val="multilevel"/>
    <w:tmpl w:val="980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37D8C"/>
    <w:multiLevelType w:val="multilevel"/>
    <w:tmpl w:val="7A26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381106"/>
    <w:multiLevelType w:val="multilevel"/>
    <w:tmpl w:val="A27E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4151B3"/>
    <w:multiLevelType w:val="multilevel"/>
    <w:tmpl w:val="304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33261">
    <w:abstractNumId w:val="3"/>
  </w:num>
  <w:num w:numId="2" w16cid:durableId="82798645">
    <w:abstractNumId w:val="1"/>
  </w:num>
  <w:num w:numId="3" w16cid:durableId="37825795">
    <w:abstractNumId w:val="5"/>
  </w:num>
  <w:num w:numId="4" w16cid:durableId="1873610459">
    <w:abstractNumId w:val="4"/>
  </w:num>
  <w:num w:numId="5" w16cid:durableId="451822752">
    <w:abstractNumId w:val="2"/>
  </w:num>
  <w:num w:numId="6" w16cid:durableId="118713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8C3"/>
    <w:rsid w:val="000E4F60"/>
    <w:rsid w:val="001E68C3"/>
    <w:rsid w:val="00410E88"/>
    <w:rsid w:val="00740C71"/>
    <w:rsid w:val="00766701"/>
    <w:rsid w:val="00783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9EFD"/>
  <w15:chartTrackingRefBased/>
  <w15:docId w15:val="{2E8B6A58-5F9C-4E84-982C-769A26B6D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8C3"/>
    <w:rPr>
      <w:rFonts w:eastAsiaTheme="majorEastAsia" w:cstheme="majorBidi"/>
      <w:color w:val="272727" w:themeColor="text1" w:themeTint="D8"/>
    </w:rPr>
  </w:style>
  <w:style w:type="paragraph" w:styleId="Title">
    <w:name w:val="Title"/>
    <w:basedOn w:val="Normal"/>
    <w:next w:val="Normal"/>
    <w:link w:val="TitleChar"/>
    <w:uiPriority w:val="10"/>
    <w:qFormat/>
    <w:rsid w:val="001E6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8C3"/>
    <w:pPr>
      <w:spacing w:before="160"/>
      <w:jc w:val="center"/>
    </w:pPr>
    <w:rPr>
      <w:i/>
      <w:iCs/>
      <w:color w:val="404040" w:themeColor="text1" w:themeTint="BF"/>
    </w:rPr>
  </w:style>
  <w:style w:type="character" w:customStyle="1" w:styleId="QuoteChar">
    <w:name w:val="Quote Char"/>
    <w:basedOn w:val="DefaultParagraphFont"/>
    <w:link w:val="Quote"/>
    <w:uiPriority w:val="29"/>
    <w:rsid w:val="001E68C3"/>
    <w:rPr>
      <w:i/>
      <w:iCs/>
      <w:color w:val="404040" w:themeColor="text1" w:themeTint="BF"/>
    </w:rPr>
  </w:style>
  <w:style w:type="paragraph" w:styleId="ListParagraph">
    <w:name w:val="List Paragraph"/>
    <w:basedOn w:val="Normal"/>
    <w:uiPriority w:val="34"/>
    <w:qFormat/>
    <w:rsid w:val="001E68C3"/>
    <w:pPr>
      <w:ind w:left="720"/>
      <w:contextualSpacing/>
    </w:pPr>
  </w:style>
  <w:style w:type="character" w:styleId="IntenseEmphasis">
    <w:name w:val="Intense Emphasis"/>
    <w:basedOn w:val="DefaultParagraphFont"/>
    <w:uiPriority w:val="21"/>
    <w:qFormat/>
    <w:rsid w:val="001E68C3"/>
    <w:rPr>
      <w:i/>
      <w:iCs/>
      <w:color w:val="0F4761" w:themeColor="accent1" w:themeShade="BF"/>
    </w:rPr>
  </w:style>
  <w:style w:type="paragraph" w:styleId="IntenseQuote">
    <w:name w:val="Intense Quote"/>
    <w:basedOn w:val="Normal"/>
    <w:next w:val="Normal"/>
    <w:link w:val="IntenseQuoteChar"/>
    <w:uiPriority w:val="30"/>
    <w:qFormat/>
    <w:rsid w:val="001E6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8C3"/>
    <w:rPr>
      <w:i/>
      <w:iCs/>
      <w:color w:val="0F4761" w:themeColor="accent1" w:themeShade="BF"/>
    </w:rPr>
  </w:style>
  <w:style w:type="character" w:styleId="IntenseReference">
    <w:name w:val="Intense Reference"/>
    <w:basedOn w:val="DefaultParagraphFont"/>
    <w:uiPriority w:val="32"/>
    <w:qFormat/>
    <w:rsid w:val="001E68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759</Words>
  <Characters>4327</Characters>
  <Application>Microsoft Office Word</Application>
  <DocSecurity>0</DocSecurity>
  <Lines>36</Lines>
  <Paragraphs>10</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2</cp:revision>
  <dcterms:created xsi:type="dcterms:W3CDTF">2026-03-06T05:09:00Z</dcterms:created>
  <dcterms:modified xsi:type="dcterms:W3CDTF">2026-03-06T05:35:00Z</dcterms:modified>
</cp:coreProperties>
</file>