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MECO PM/PLM MVP Technical Specification (v13)</w:t>
      </w:r>
    </w:p>
    <w:p>
      <w:r>
        <w:t>1. Scope</w:t>
      </w:r>
    </w:p>
    <w:p>
      <w:r>
        <w:t>This spec describes the currently implemented MVP across meco-web, meco-platform, and meco-mobile with shared backend contracts and season/project scoped data.</w:t>
      </w:r>
    </w:p>
    <w:p>
      <w:r>
        <w:t>2. Runtime Architecture</w:t>
      </w:r>
    </w:p>
    <w:p>
      <w:r>
        <w:t>- meco-web: React + Vite browser client for full workspace management.</w:t>
      </w:r>
    </w:p>
    <w:p>
      <w:r>
        <w:t>- meco-platform: Fastify API with Prisma-backed persistence and runtime validation.</w:t>
      </w:r>
    </w:p>
    <w:p>
      <w:r>
        <w:t>- meco-mobile: Expo React Native client with compact UI and API sync support.</w:t>
      </w:r>
    </w:p>
    <w:p>
      <w:r>
        <w:t>3. Domain Entities</w:t>
      </w:r>
    </w:p>
    <w:p>
      <w:r>
        <w:t>Season: id, name, type, startDate, endDate.</w:t>
      </w:r>
    </w:p>
    <w:p>
      <w:r>
        <w:t>Project: id, seasonId, name, projectType (robot/operations/outreach/other), description, status.</w:t>
      </w:r>
    </w:p>
    <w:p>
      <w:r>
        <w:t>Workstream: id, projectId, name, description, isArchived.</w:t>
      </w:r>
    </w:p>
    <w:p>
      <w:r>
        <w:t>Subsystem: id, projectId, name, parentSubsystemId, responsibleEngineerId, mentorIds, risks.</w:t>
      </w:r>
    </w:p>
    <w:p>
      <w:r>
        <w:t>Mechanism (robot workflows): id, subsystemId, name, description, iteration, isArchived.</w:t>
      </w:r>
    </w:p>
    <w:p>
      <w:r>
        <w:t>PartDefinition: reusable part metadata including partNumber/revision/type/source/material.</w:t>
      </w:r>
    </w:p>
    <w:p>
      <w:r>
        <w:t>PartInstance: subsystem-scoped instance optionally linked to mechanism with lifecycle status.</w:t>
      </w:r>
    </w:p>
    <w:p>
      <w:r>
        <w:t>Task: project-scoped work item with optional workstream linkage, subsystem/mechanism/part references, dependencies, blockers, ownership, due dates, status, priority, and documentation flags.</w:t>
      </w:r>
    </w:p>
    <w:p>
      <w:r>
        <w:t>Event: shared milestone/timeline record with type, schedule, projectIds, relatedSubsystemIds, and external/internal flag.</w:t>
      </w:r>
    </w:p>
    <w:p>
      <w:r>
        <w:t>ManufacturingItem: process (cnc/3d-print/fabrication), part linkage, quantity, status, mentorReviewed, and cnc inHouse field.</w:t>
      </w:r>
    </w:p>
    <w:p>
      <w:r>
        <w:t>Material: inventory stock record with category/unit/quantity/reorder/location/vendor metadata.</w:t>
      </w:r>
    </w:p>
    <w:p>
      <w:r>
        <w:t>PurchaseItem: request/approval/purchase lifecycle record with vendor/cost/approval fields.</w:t>
      </w:r>
    </w:p>
    <w:p>
      <w:r>
        <w:t>Artifact: project/workstream linked document or nontechnical output with publication status.</w:t>
      </w:r>
    </w:p>
    <w:p>
      <w:r>
        <w:t>Member: season-scoped person record with role and elevated flag.</w:t>
      </w:r>
    </w:p>
    <w:p>
      <w:r>
        <w:t>WorkLog: task-linked effort entry (date/hours/participants/notes).</w:t>
      </w:r>
    </w:p>
    <w:p>
      <w:r>
        <w:t>4. Key Contract Rules</w:t>
      </w:r>
    </w:p>
    <w:p>
      <w:r>
        <w:t>Tasks are the primary planning unit and are always tied to a project.</w:t>
      </w:r>
    </w:p>
    <w:p>
      <w:r>
        <w:t>Subsystem ownership is project-scoped; child references must remain within that project boundary.</w:t>
      </w:r>
    </w:p>
    <w:p>
      <w:r>
        <w:t>Event CRUD is shared for timeline and milestone UI; milestone is a presentation/type usage of Event, not a separate model.</w:t>
      </w:r>
    </w:p>
    <w:p>
      <w:r>
        <w:t>Manufacturing part linkage supports multi-instance IDs for part-first workflows.</w:t>
      </w:r>
    </w:p>
    <w:p>
      <w:r>
        <w:t>Non-robot inventory uses artifact workflows while purchases remain available across project types.</w:t>
      </w:r>
    </w:p>
    <w:p>
      <w:r>
        <w:t>5. API Surface (Implemented)</w:t>
      </w:r>
    </w:p>
    <w:p>
      <w:r>
        <w:t>Auth: /api/auth/config, /api/auth/google, /api/auth/email/start, /api/auth/email/verify, /api/auth/me, and optional /api/auth/dev-bypass.</w:t>
      </w:r>
    </w:p>
    <w:p>
      <w:r>
        <w:t>Planning: /api/bootstrap, /api/seasons, /api/projects, /api/workstreams, /api/tasks, /api/events, /api/work-logs.</w:t>
      </w:r>
    </w:p>
    <w:p>
      <w:r>
        <w:t>Build/Operations: /api/subsystems, /api/mechanisms, /api/manufacturing.</w:t>
      </w:r>
    </w:p>
    <w:p>
      <w:r>
        <w:t>Inventory/Procurement: /api/materials, /api/part-definitions, /api/part-instances, /api/purchases, /api/artifacts.</w:t>
      </w:r>
    </w:p>
    <w:p>
      <w:r>
        <w:t>Team/Reporting: /api/members plus dashboard/metrics endpoints.</w:t>
      </w:r>
    </w:p>
    <w:p>
      <w:r>
        <w:t>6. Client Behavior</w:t>
      </w:r>
    </w:p>
    <w:p>
      <w:r>
        <w:t>Web client applies compatibility normalization for older bootstrap payloads while preserving canonical season/project/workstream structure.</w:t>
      </w:r>
    </w:p>
    <w:p>
      <w:r>
        <w:t>Mobile client initializes from a local snapshot, then syncs from backend when available and executes mutations through the same API contract.</w:t>
      </w:r>
    </w:p>
    <w:p>
      <w:r>
        <w:t>7. Operational Constraints</w:t>
      </w:r>
    </w:p>
    <w:p>
      <w:r>
        <w:t>Environment configuration controls auth providers, SMTP delivery, CORS allowlists, token TTL, and request limits.</w:t>
      </w:r>
    </w:p>
    <w:p>
      <w:r>
        <w:t>Production startup requires secure auth config and explicit CORS origins.</w:t>
      </w:r>
    </w:p>
    <w:p>
      <w:r>
        <w:t>8. Version Note</w:t>
      </w:r>
    </w:p>
    <w:p>
      <w:r>
        <w:t>This v13 specification supersedes v12 and reflects the current repository contract as of 2026-04-26.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