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Technical Specification (v14)</w:t>
      </w:r>
    </w:p>
    <w:p>
      <w:pPr>
        <w:pStyle w:val="Heading1"/>
      </w:pPr>
      <w:r>
        <w:t>1. Scope</w:t>
      </w:r>
    </w:p>
    <w:p>
      <w:r>
        <w:t>Defines system architecture with robust iteration tracking and unified task-driven execution model.</w:t>
      </w:r>
    </w:p>
    <w:p>
      <w:pPr>
        <w:pStyle w:val="Heading1"/>
      </w:pPr>
      <w:r>
        <w:t>2. Entities</w:t>
      </w:r>
    </w:p>
    <w:p>
      <w:r>
        <w:t>Season, Project, Workstream, Task, Event, Mechanism, PartDefinition, PartInstance, ArtifactInstance, QAReport, QAFinding, TestResult, TestFinding, Risk, DesignIteration</w:t>
      </w:r>
    </w:p>
    <w:p>
      <w:pPr>
        <w:pStyle w:val="Heading1"/>
      </w:pPr>
      <w:r>
        <w:t>3. DesignIteration Entity</w:t>
      </w:r>
    </w:p>
    <w:p>
      <w:r>
        <w:t>DesignIteration:</w:t>
        <w:br/>
        <w:t>- id</w:t>
        <w:br/>
        <w:t>- project_id</w:t>
        <w:br/>
        <w:t>- target_type</w:t>
        <w:br/>
        <w:t>- target_id</w:t>
        <w:br/>
        <w:t>- iteration_number</w:t>
        <w:br/>
        <w:t>- reason</w:t>
        <w:br/>
        <w:t>- source_type</w:t>
        <w:br/>
        <w:t>- source_finding_id</w:t>
        <w:br/>
        <w:t>- status</w:t>
        <w:br/>
        <w:t>- created_at</w:t>
        <w:br/>
        <w:t>- completed_at</w:t>
      </w:r>
    </w:p>
    <w:p>
      <w:pPr>
        <w:pStyle w:val="Heading1"/>
      </w:pPr>
      <w:r>
        <w:t>4. Task Model</w:t>
      </w:r>
    </w:p>
    <w:p>
      <w:r>
        <w:t>Tasks belong to a Project and optionally a Workstream.</w:t>
        <w:br/>
        <w:t>Tasks may target Events and reference Mechanisms, Parts, or Artifacts through TaskTarget.</w:t>
      </w:r>
    </w:p>
    <w:p>
      <w:pPr>
        <w:pStyle w:val="Heading1"/>
      </w:pPr>
      <w:r>
        <w:t>5. QA/Test Flow</w:t>
      </w:r>
    </w:p>
    <w:p>
      <w:r>
        <w:t>Task → QAReport → QAFinding → Iteration/Task</w:t>
        <w:br/>
        <w:t>Event → TestResult → TestFinding → Iteration/Task</w:t>
      </w:r>
    </w:p>
    <w:p>
      <w:pPr>
        <w:pStyle w:val="Heading1"/>
      </w:pPr>
      <w:r>
        <w:t>6. Risk Model</w:t>
      </w:r>
    </w:p>
    <w:p>
      <w:r>
        <w:t>Risks are created from findings and tracked at the most specific level.</w:t>
        <w:br/>
        <w:t>Inheritance is handled at query level.</w:t>
      </w:r>
    </w:p>
    <w:p>
      <w:pPr>
        <w:pStyle w:val="Heading1"/>
      </w:pPr>
      <w:r>
        <w:t>7. API Requirements</w:t>
      </w:r>
    </w:p>
    <w:p>
      <w:r>
        <w:t>Add endpoints for:</w:t>
        <w:br/>
        <w:t>/iterations</w:t>
        <w:br/>
        <w:t>/findings</w:t>
        <w:br/>
        <w:t>/task-targets</w:t>
        <w:br/>
        <w:t>Ensure consistency with existing task, QA, and test endpoints.</w:t>
      </w:r>
    </w:p>
    <w:p>
      <w:pPr>
        <w:pStyle w:val="Heading1"/>
      </w:pPr>
      <w:r>
        <w:t>8. Constraints</w:t>
      </w:r>
    </w:p>
    <w:p>
      <w:r>
        <w:t>Single ownership rules enforced.</w:t>
        <w:br/>
        <w:t>Iteration creation tied to findings.</w:t>
        <w:br/>
        <w:t>Robot-specific entities only used in robot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