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7069" w:rsidP="00DE4FDE" w:rsidRDefault="00ED7069" w14:paraId="49A92408" w14:textId="3324F111">
      <w:pPr>
        <w:rPr>
          <w:lang w:val="en-US"/>
        </w:rPr>
      </w:pPr>
      <w:r w:rsidRPr="00ED7069">
        <w:rPr>
          <w:b/>
          <w:bCs/>
          <w:lang w:val="en-US"/>
        </w:rPr>
        <w:t>Course Module</w:t>
      </w:r>
      <w:r>
        <w:rPr>
          <w:lang w:val="en-US"/>
        </w:rPr>
        <w:t xml:space="preserve">: </w:t>
      </w:r>
      <w:r w:rsidRPr="00ED7069">
        <w:rPr>
          <w:b/>
          <w:bCs/>
        </w:rPr>
        <w:t>Music Perception and Cognition</w:t>
      </w:r>
    </w:p>
    <w:p w:rsidRPr="00BC3A36" w:rsidR="00DE4FDE" w:rsidP="00DE4FDE" w:rsidRDefault="001E46E2" w14:paraId="7AA7BF12" w14:textId="0775B4E3">
      <w:pPr>
        <w:rPr>
          <w:lang w:val="en-US"/>
        </w:rPr>
      </w:pPr>
      <w:r>
        <w:rPr>
          <w:lang w:val="en-US"/>
        </w:rPr>
        <w:t>M</w:t>
      </w:r>
      <w:r w:rsidRPr="00756E48" w:rsidR="00756E48">
        <w:rPr>
          <w:lang w:val="en-US"/>
        </w:rPr>
        <w:t>usic h</w:t>
      </w:r>
      <w:r w:rsidR="00EB428B">
        <w:rPr>
          <w:lang w:val="en-US"/>
        </w:rPr>
        <w:t>as held</w:t>
      </w:r>
      <w:r w:rsidRPr="00756E48" w:rsidR="00756E48">
        <w:rPr>
          <w:lang w:val="en-US"/>
        </w:rPr>
        <w:t xml:space="preserve"> an important place in all cultures around the world</w:t>
      </w:r>
      <w:r w:rsidR="00EB428B">
        <w:rPr>
          <w:lang w:val="en-US"/>
        </w:rPr>
        <w:t xml:space="preserve"> </w:t>
      </w:r>
      <w:r>
        <w:rPr>
          <w:lang w:val="en-US"/>
        </w:rPr>
        <w:t xml:space="preserve">for millennia, </w:t>
      </w:r>
      <w:r w:rsidR="00EB428B">
        <w:rPr>
          <w:lang w:val="en-US"/>
        </w:rPr>
        <w:t xml:space="preserve">and </w:t>
      </w:r>
      <w:r>
        <w:rPr>
          <w:lang w:val="en-US"/>
        </w:rPr>
        <w:t xml:space="preserve">recently </w:t>
      </w:r>
      <w:r w:rsidR="00EB428B">
        <w:rPr>
          <w:lang w:val="en-US"/>
        </w:rPr>
        <w:t>t</w:t>
      </w:r>
      <w:r w:rsidR="009876A7">
        <w:rPr>
          <w:lang w:val="en-US"/>
        </w:rPr>
        <w:t>echnology has made music increasingly accessible</w:t>
      </w:r>
      <w:r w:rsidR="00EA2039">
        <w:rPr>
          <w:lang w:val="en-US"/>
        </w:rPr>
        <w:t xml:space="preserve"> </w:t>
      </w:r>
      <w:r w:rsidR="009876A7">
        <w:rPr>
          <w:lang w:val="en-US"/>
        </w:rPr>
        <w:t xml:space="preserve">in </w:t>
      </w:r>
      <w:r w:rsidR="009876A7">
        <w:t>daily activities</w:t>
      </w:r>
      <w:r w:rsidR="00EA2039">
        <w:t xml:space="preserve"> </w:t>
      </w:r>
      <w:r w:rsidR="00EA2039">
        <w:rPr>
          <w:lang w:val="en-US"/>
        </w:rPr>
        <w:t>and integral in most</w:t>
      </w:r>
      <w:r w:rsidR="00A8251A">
        <w:rPr>
          <w:lang w:val="en-US"/>
        </w:rPr>
        <w:t xml:space="preserve"> digital medi</w:t>
      </w:r>
      <w:r w:rsidR="00BC3A36">
        <w:rPr>
          <w:lang w:val="en-US"/>
        </w:rPr>
        <w:t>a.</w:t>
      </w:r>
      <w:r w:rsidR="00EA2039">
        <w:rPr>
          <w:lang w:val="en-US"/>
        </w:rPr>
        <w:t xml:space="preserve"> </w:t>
      </w:r>
      <w:r w:rsidRPr="00DE4FDE" w:rsidR="009876A7">
        <w:t xml:space="preserve">Musical information may encode musical sound, perceived musical structure, the affective or semantic content of music, musical gestures or musical interactions. </w:t>
      </w:r>
      <w:r w:rsidRPr="00DE4FDE" w:rsidR="00EA2039">
        <w:t xml:space="preserve">The ability to design and build effective and efficient computing systems for processing musical information requires an understanding of how </w:t>
      </w:r>
      <w:r w:rsidR="00EA2039">
        <w:t>music</w:t>
      </w:r>
      <w:r w:rsidRPr="00DE4FDE" w:rsidR="00EA2039">
        <w:t xml:space="preserve"> information is created, represented, communicated and processed by humans.</w:t>
      </w:r>
      <w:r w:rsidR="00EA2039">
        <w:t xml:space="preserve"> </w:t>
      </w:r>
    </w:p>
    <w:p w:rsidRPr="00DE4FDE" w:rsidR="00DE4FDE" w:rsidP="00DE4FDE" w:rsidRDefault="00DE4FDE" w14:paraId="5FDC5C6B" w14:textId="105A04F6">
      <w:r w:rsidRPr="00DE4FDE">
        <w:t>This course introduces experimental, theoretical, computational and neuroscientific work that has contributed to our understanding of how musical information is created, represented, communicated and processed, both in the brain and the body, when humans perform musical tasks such as listening, dancing, performing, composing and improvising.</w:t>
      </w:r>
    </w:p>
    <w:p w:rsidR="00DE4FDE" w:rsidP="00DE4FDE" w:rsidRDefault="00DE4FDE" w14:paraId="638566A1" w14:textId="77777777">
      <w:pPr>
        <w:rPr>
          <w:b/>
          <w:bCs/>
        </w:rPr>
      </w:pPr>
    </w:p>
    <w:p w:rsidRPr="00DE4FDE" w:rsidR="00DE4FDE" w:rsidP="00DE4FDE" w:rsidRDefault="00DE4FDE" w14:paraId="5F8B1670" w14:textId="1CF7A519">
      <w:pPr>
        <w:rPr>
          <w:b/>
          <w:bCs/>
        </w:rPr>
      </w:pPr>
      <w:r w:rsidRPr="00DE4FDE">
        <w:rPr>
          <w:b/>
          <w:bCs/>
        </w:rPr>
        <w:t>Learning objectives</w:t>
      </w:r>
    </w:p>
    <w:p w:rsidRPr="00DE4FDE" w:rsidR="00DE4FDE" w:rsidP="00DE4FDE" w:rsidRDefault="00DE4FDE" w14:paraId="75E8C221" w14:textId="77777777">
      <w:pPr>
        <w:rPr>
          <w:b/>
          <w:bCs/>
        </w:rPr>
      </w:pPr>
      <w:r w:rsidRPr="00DE4FDE">
        <w:rPr>
          <w:b/>
          <w:bCs/>
        </w:rPr>
        <w:t>Knowledge</w:t>
      </w:r>
    </w:p>
    <w:p w:rsidRPr="00DE4FDE" w:rsidR="00DE4FDE" w:rsidP="00DE4FDE" w:rsidRDefault="00DE4FDE" w14:paraId="7D6C62AC" w14:textId="77777777">
      <w:r w:rsidRPr="00DE4FDE">
        <w:t>Students who complete the module will obtain:</w:t>
      </w:r>
    </w:p>
    <w:p w:rsidRPr="00DE4FDE" w:rsidR="00DE4FDE" w:rsidP="00DE4FDE" w:rsidRDefault="00DE4FDE" w14:paraId="421255E6" w14:textId="0EDCE4B5">
      <w:pPr>
        <w:numPr>
          <w:ilvl w:val="0"/>
          <w:numId w:val="1"/>
        </w:numPr>
      </w:pPr>
      <w:r w:rsidRPr="00DE4FDE">
        <w:t xml:space="preserve">understanding of the main paradigms, concepts and disciplines that contribute to </w:t>
      </w:r>
      <w:r>
        <w:t>music</w:t>
      </w:r>
      <w:r w:rsidRPr="00DE4FDE">
        <w:t xml:space="preserve"> perception and cognition </w:t>
      </w:r>
      <w:r>
        <w:t>research</w:t>
      </w:r>
      <w:r w:rsidRPr="00DE4FDE">
        <w:t xml:space="preserve"> and which have relevance for </w:t>
      </w:r>
      <w:r>
        <w:t xml:space="preserve">sound and music computing </w:t>
      </w:r>
      <w:r w:rsidR="005A6FBF">
        <w:t>systems</w:t>
      </w:r>
    </w:p>
    <w:p w:rsidR="00DE4FDE" w:rsidP="00DE4FDE" w:rsidRDefault="00244124" w14:paraId="5476244E" w14:textId="68E7A4C6">
      <w:pPr>
        <w:numPr>
          <w:ilvl w:val="0"/>
          <w:numId w:val="1"/>
        </w:numPr>
      </w:pPr>
      <w:r>
        <w:t>understanding of</w:t>
      </w:r>
      <w:r w:rsidRPr="00DE4FDE" w:rsidR="00DE4FDE">
        <w:t xml:space="preserve"> </w:t>
      </w:r>
      <w:r>
        <w:t xml:space="preserve">how </w:t>
      </w:r>
      <w:r w:rsidR="00024DBC">
        <w:t xml:space="preserve">perceptual constraints </w:t>
      </w:r>
      <w:r>
        <w:t>as well as cultural</w:t>
      </w:r>
      <w:r w:rsidR="005A6FBF">
        <w:t xml:space="preserve"> </w:t>
      </w:r>
      <w:r>
        <w:t xml:space="preserve">influence </w:t>
      </w:r>
      <w:r w:rsidR="005A6FBF">
        <w:t xml:space="preserve">shape </w:t>
      </w:r>
      <w:r>
        <w:t>how</w:t>
      </w:r>
      <w:r w:rsidR="00EA6F1B">
        <w:t xml:space="preserve"> musical </w:t>
      </w:r>
      <w:r w:rsidR="005A6FBF">
        <w:t>information</w:t>
      </w:r>
      <w:r w:rsidR="00EA6F1B">
        <w:t xml:space="preserve"> </w:t>
      </w:r>
      <w:r w:rsidR="005A6FBF">
        <w:t>is</w:t>
      </w:r>
      <w:r w:rsidR="00EA6F1B">
        <w:t xml:space="preserve"> communicated</w:t>
      </w:r>
      <w:r>
        <w:t xml:space="preserve"> and experienced</w:t>
      </w:r>
      <w:r w:rsidR="00EA6F1B">
        <w:t>.</w:t>
      </w:r>
    </w:p>
    <w:p w:rsidRPr="00DE4FDE" w:rsidR="005A6FBF" w:rsidP="00DE4FDE" w:rsidRDefault="005A6FBF" w14:paraId="0C5ED1EA" w14:textId="64129DFC">
      <w:pPr>
        <w:numPr>
          <w:ilvl w:val="0"/>
          <w:numId w:val="1"/>
        </w:numPr>
      </w:pPr>
      <w:r w:rsidRPr="005A6FBF">
        <w:t>Understand</w:t>
      </w:r>
      <w:r>
        <w:t>ing of</w:t>
      </w:r>
      <w:r w:rsidRPr="005A6FBF">
        <w:t xml:space="preserve"> the basic cognitive and motoric mechanisms underlying human </w:t>
      </w:r>
      <w:r>
        <w:t xml:space="preserve">music </w:t>
      </w:r>
      <w:r w:rsidRPr="005A6FBF">
        <w:t>performance</w:t>
      </w:r>
      <w:r>
        <w:t xml:space="preserve"> and interactions</w:t>
      </w:r>
    </w:p>
    <w:p w:rsidRPr="00DE4FDE" w:rsidR="00DE4FDE" w:rsidP="00DE4FDE" w:rsidRDefault="00DE4FDE" w14:paraId="007BEBBC" w14:textId="77777777">
      <w:pPr>
        <w:rPr>
          <w:b/>
          <w:bCs/>
        </w:rPr>
      </w:pPr>
      <w:r w:rsidRPr="00DE4FDE">
        <w:rPr>
          <w:b/>
          <w:bCs/>
        </w:rPr>
        <w:t>Skills</w:t>
      </w:r>
    </w:p>
    <w:p w:rsidRPr="00DE4FDE" w:rsidR="00DE4FDE" w:rsidP="00DE4FDE" w:rsidRDefault="00DE4FDE" w14:paraId="2D0F3974" w14:textId="77777777">
      <w:r w:rsidRPr="00DE4FDE">
        <w:t>Students who complete the module will be able to: </w:t>
      </w:r>
    </w:p>
    <w:p w:rsidR="00F24ED0" w:rsidP="00F24ED0" w:rsidRDefault="00F24ED0" w14:paraId="7A9B47E0" w14:textId="7B34EBA2">
      <w:pPr>
        <w:numPr>
          <w:ilvl w:val="0"/>
          <w:numId w:val="1"/>
        </w:numPr>
      </w:pPr>
      <w:r w:rsidRPr="00F24ED0">
        <w:t xml:space="preserve">apply knowledge on human </w:t>
      </w:r>
      <w:r>
        <w:t>music</w:t>
      </w:r>
      <w:r w:rsidRPr="00F24ED0">
        <w:t xml:space="preserve"> perception and cognition in the design of </w:t>
      </w:r>
      <w:r>
        <w:t>sound and music computing systems</w:t>
      </w:r>
    </w:p>
    <w:p w:rsidR="00DE4FDE" w:rsidP="00DE4FDE" w:rsidRDefault="00F24ED0" w14:paraId="0F920865" w14:textId="53590621">
      <w:pPr>
        <w:numPr>
          <w:ilvl w:val="0"/>
          <w:numId w:val="2"/>
        </w:numPr>
      </w:pPr>
      <w:r>
        <w:t xml:space="preserve">apply </w:t>
      </w:r>
      <w:r w:rsidRPr="00DE4FDE" w:rsidR="00DE4FDE">
        <w:t>theories and models of music perception and cognition</w:t>
      </w:r>
      <w:r w:rsidR="00B62074">
        <w:t xml:space="preserve"> to evaluate sound and music computing systems</w:t>
      </w:r>
    </w:p>
    <w:p w:rsidRPr="00DE4FDE" w:rsidR="00DE4FDE" w:rsidP="00DE4FDE" w:rsidRDefault="0092742D" w14:paraId="1E1A7B37" w14:textId="04990BEF">
      <w:pPr>
        <w:numPr>
          <w:ilvl w:val="0"/>
          <w:numId w:val="2"/>
        </w:numPr>
      </w:pPr>
      <w:r>
        <w:t>a</w:t>
      </w:r>
      <w:r w:rsidRPr="00DE4FDE" w:rsidR="00DE4FDE">
        <w:t>pply experimental methodologies in the design and execution of appropriate experiments for testing hypotheses in the field of music perception and cognition.</w:t>
      </w:r>
    </w:p>
    <w:p w:rsidRPr="00DE4FDE" w:rsidR="00DE4FDE" w:rsidP="00DE4FDE" w:rsidRDefault="00DE4FDE" w14:paraId="20638B6E" w14:textId="77777777">
      <w:pPr>
        <w:rPr>
          <w:b/>
          <w:bCs/>
        </w:rPr>
      </w:pPr>
      <w:r w:rsidRPr="00DE4FDE">
        <w:rPr>
          <w:b/>
          <w:bCs/>
        </w:rPr>
        <w:t>Competences</w:t>
      </w:r>
    </w:p>
    <w:p w:rsidRPr="00DE4FDE" w:rsidR="00DE4FDE" w:rsidP="00DE4FDE" w:rsidRDefault="00DE4FDE" w14:paraId="25E8CE22" w14:textId="77777777">
      <w:r w:rsidRPr="00DE4FDE">
        <w:t>Students who complete the module will be able to:</w:t>
      </w:r>
    </w:p>
    <w:p w:rsidRPr="00DE4FDE" w:rsidR="00DE4FDE" w:rsidP="00DE4FDE" w:rsidRDefault="00DE4FDE" w14:paraId="6F38B9A7" w14:textId="6AA0726C">
      <w:pPr>
        <w:numPr>
          <w:ilvl w:val="0"/>
          <w:numId w:val="3"/>
        </w:numPr>
      </w:pPr>
      <w:r w:rsidRPr="00DE4FDE">
        <w:t xml:space="preserve">synthesize knowledge and theoretical frameworks from a variety of relevant sources and disciplines, which contribute to the study of technology-cognition interaction and apply this knowledge in the design of </w:t>
      </w:r>
      <w:r w:rsidR="00F24ED0">
        <w:t xml:space="preserve">sound and music computing </w:t>
      </w:r>
      <w:r w:rsidRPr="00DE4FDE">
        <w:t>systems</w:t>
      </w:r>
    </w:p>
    <w:p w:rsidR="00DE4FDE" w:rsidP="00161155" w:rsidRDefault="00DE4FDE" w14:paraId="07200101" w14:textId="77777777">
      <w:pPr>
        <w:numPr>
          <w:ilvl w:val="0"/>
          <w:numId w:val="3"/>
        </w:numPr>
        <w:rPr>
          <w:b/>
          <w:bCs/>
        </w:rPr>
      </w:pPr>
      <w:r w:rsidRPr="00DE4FDE">
        <w:t>analyze and interpret current experimental, theoretical and computational research in music perception and cognition.</w:t>
      </w:r>
      <w:r w:rsidRPr="00DE4FDE">
        <w:rPr>
          <w:b/>
          <w:bCs/>
        </w:rPr>
        <w:t xml:space="preserve"> </w:t>
      </w:r>
    </w:p>
    <w:p w:rsidR="00ED7069" w:rsidP="00ED7069" w:rsidRDefault="00ED7069" w14:paraId="1A4A146D" w14:textId="77777777">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7131"/>
      </w:tblGrid>
      <w:tr w:rsidRPr="00ED7069" w:rsidR="00ED7069" w:rsidTr="07D401FC" w14:paraId="65685250" w14:textId="77777777">
        <w:trPr>
          <w:tblCellSpacing w:w="15" w:type="dxa"/>
        </w:trPr>
        <w:tc>
          <w:tcPr>
            <w:tcW w:w="0" w:type="auto"/>
            <w:tcMar/>
            <w:vAlign w:val="center"/>
            <w:hideMark/>
          </w:tcPr>
          <w:p w:rsidRPr="00ED7069" w:rsidR="00ED7069" w:rsidP="00ED7069" w:rsidRDefault="00ED7069" w14:paraId="6C9059D7" w14:textId="77777777">
            <w:pPr>
              <w:rPr>
                <w:b/>
                <w:bCs/>
              </w:rPr>
            </w:pPr>
            <w:r w:rsidRPr="00ED7069">
              <w:rPr>
                <w:b/>
                <w:bCs/>
              </w:rPr>
              <w:t>Name of exam</w:t>
            </w:r>
          </w:p>
        </w:tc>
        <w:tc>
          <w:tcPr>
            <w:tcW w:w="0" w:type="auto"/>
            <w:tcMar/>
            <w:vAlign w:val="center"/>
            <w:hideMark/>
          </w:tcPr>
          <w:p w:rsidRPr="00ED7069" w:rsidR="00ED7069" w:rsidP="00ED7069" w:rsidRDefault="00ED7069" w14:paraId="78D3837D" w14:textId="77777777">
            <w:pPr>
              <w:rPr>
                <w:b/>
                <w:bCs/>
              </w:rPr>
            </w:pPr>
            <w:r w:rsidRPr="00ED7069">
              <w:rPr>
                <w:b/>
                <w:bCs/>
              </w:rPr>
              <w:t>Music Perception and Cognition</w:t>
            </w:r>
          </w:p>
        </w:tc>
      </w:tr>
      <w:tr w:rsidRPr="00ED7069" w:rsidR="00ED7069" w:rsidTr="07D401FC" w14:paraId="26AB9E6B" w14:textId="77777777">
        <w:trPr>
          <w:tblCellSpacing w:w="15" w:type="dxa"/>
        </w:trPr>
        <w:tc>
          <w:tcPr>
            <w:tcW w:w="0" w:type="auto"/>
            <w:tcMar/>
            <w:vAlign w:val="center"/>
            <w:hideMark/>
          </w:tcPr>
          <w:p w:rsidRPr="00ED7069" w:rsidR="00ED7069" w:rsidP="00ED7069" w:rsidRDefault="00ED7069" w14:paraId="6E2AA34C" w14:textId="77777777">
            <w:pPr>
              <w:rPr>
                <w:b/>
                <w:bCs/>
              </w:rPr>
            </w:pPr>
            <w:r w:rsidRPr="00ED7069">
              <w:rPr>
                <w:b/>
                <w:bCs/>
              </w:rPr>
              <w:t>Type of exam</w:t>
            </w:r>
          </w:p>
        </w:tc>
        <w:tc>
          <w:tcPr>
            <w:tcW w:w="0" w:type="auto"/>
            <w:tcMar/>
            <w:vAlign w:val="center"/>
            <w:hideMark/>
          </w:tcPr>
          <w:p w:rsidRPr="00ED7069" w:rsidR="00ED7069" w:rsidP="00ED7069" w:rsidRDefault="00ED7069" w14:paraId="74C78B73" w14:textId="05F48BA4">
            <w:pPr>
              <w:rPr>
                <w:b w:val="1"/>
                <w:bCs w:val="1"/>
              </w:rPr>
            </w:pPr>
            <w:r w:rsidRPr="7E66EB6C" w:rsidR="69D48426">
              <w:rPr>
                <w:b w:val="1"/>
                <w:bCs w:val="1"/>
              </w:rPr>
              <w:t>O</w:t>
            </w:r>
            <w:r w:rsidRPr="7E66EB6C" w:rsidR="00ED7069">
              <w:rPr>
                <w:b w:val="1"/>
                <w:bCs w:val="1"/>
              </w:rPr>
              <w:t>ral exam</w:t>
            </w:r>
            <w:r w:rsidRPr="7E66EB6C" w:rsidR="00ED7069">
              <w:rPr>
                <w:b w:val="1"/>
                <w:bCs w:val="1"/>
              </w:rPr>
              <w:t xml:space="preserve"> </w:t>
            </w:r>
            <w:r w:rsidRPr="7E66EB6C" w:rsidR="00ED7069">
              <w:rPr>
                <w:b w:val="1"/>
                <w:bCs w:val="1"/>
              </w:rPr>
              <w:t>based on project.</w:t>
            </w:r>
          </w:p>
          <w:p w:rsidRPr="00ED7069" w:rsidR="00ED7069" w:rsidP="61AE2D37" w:rsidRDefault="00ED7069" w14:paraId="263DA9E6" w14:textId="4C8F6282">
            <w:pPr>
              <w:rPr>
                <w:b w:val="1"/>
                <w:bCs w:val="1"/>
                <w:lang w:val="en-GB"/>
              </w:rPr>
            </w:pPr>
            <w:r w:rsidRPr="61AE2D37" w:rsidR="00ED7069">
              <w:rPr>
                <w:b w:val="1"/>
                <w:bCs w:val="1"/>
                <w:lang w:val="en-GB"/>
              </w:rPr>
              <w:t>In accordance with</w:t>
            </w:r>
            <w:r w:rsidRPr="61AE2D37" w:rsidR="00ED7069">
              <w:rPr>
                <w:b w:val="1"/>
                <w:bCs w:val="1"/>
                <w:lang w:val="en-GB"/>
              </w:rPr>
              <w:t xml:space="preserve"> the current Joint Programme Regulations and directions on examination from the Study Board for Media Technology: </w:t>
            </w:r>
            <w:r>
              <w:br/>
            </w:r>
            <w:r w:rsidRPr="61AE2D37" w:rsidR="00ED7069">
              <w:rPr>
                <w:b w:val="1"/>
                <w:bCs w:val="1"/>
                <w:lang w:val="en-GB"/>
              </w:rPr>
              <w:t xml:space="preserve">Oral examination with internal censor. The assessment is performed </w:t>
            </w:r>
            <w:r w:rsidRPr="61AE2D37" w:rsidR="00ED7069">
              <w:rPr>
                <w:b w:val="1"/>
                <w:bCs w:val="1"/>
                <w:lang w:val="en-GB"/>
              </w:rPr>
              <w:t>in accordance with</w:t>
            </w:r>
            <w:r w:rsidRPr="61AE2D37" w:rsidR="00ED7069">
              <w:rPr>
                <w:b w:val="1"/>
                <w:bCs w:val="1"/>
                <w:lang w:val="en-GB"/>
              </w:rPr>
              <w:t xml:space="preserve"> the 7-point scale.</w:t>
            </w:r>
          </w:p>
        </w:tc>
      </w:tr>
      <w:tr w:rsidRPr="00ED7069" w:rsidR="00ED7069" w:rsidTr="07D401FC" w14:paraId="2FE172B0" w14:textId="77777777">
        <w:trPr>
          <w:tblCellSpacing w:w="15" w:type="dxa"/>
        </w:trPr>
        <w:tc>
          <w:tcPr>
            <w:tcW w:w="0" w:type="auto"/>
            <w:tcMar/>
            <w:vAlign w:val="center"/>
            <w:hideMark/>
          </w:tcPr>
          <w:p w:rsidRPr="00ED7069" w:rsidR="00ED7069" w:rsidP="00ED7069" w:rsidRDefault="00ED7069" w14:paraId="20E93BC0" w14:textId="77777777">
            <w:pPr>
              <w:rPr>
                <w:b/>
                <w:bCs/>
              </w:rPr>
            </w:pPr>
            <w:r w:rsidRPr="00ED7069">
              <w:rPr>
                <w:b/>
                <w:bCs/>
              </w:rPr>
              <w:t>ECTS</w:t>
            </w:r>
          </w:p>
        </w:tc>
        <w:tc>
          <w:tcPr>
            <w:tcW w:w="0" w:type="auto"/>
            <w:tcMar/>
            <w:vAlign w:val="center"/>
            <w:hideMark/>
          </w:tcPr>
          <w:p w:rsidRPr="00ED7069" w:rsidR="00ED7069" w:rsidP="00ED7069" w:rsidRDefault="00ED7069" w14:paraId="2EA5F62A" w14:textId="77777777">
            <w:pPr>
              <w:rPr>
                <w:b/>
                <w:bCs/>
              </w:rPr>
            </w:pPr>
            <w:r w:rsidRPr="00ED7069">
              <w:rPr>
                <w:b/>
                <w:bCs/>
              </w:rPr>
              <w:t>5</w:t>
            </w:r>
          </w:p>
        </w:tc>
      </w:tr>
      <w:tr w:rsidRPr="00ED7069" w:rsidR="00ED7069" w:rsidTr="07D401FC" w14:paraId="0F3CE70B" w14:textId="77777777">
        <w:trPr>
          <w:tblCellSpacing w:w="15" w:type="dxa"/>
        </w:trPr>
        <w:tc>
          <w:tcPr>
            <w:tcW w:w="0" w:type="auto"/>
            <w:tcMar/>
            <w:vAlign w:val="center"/>
            <w:hideMark/>
          </w:tcPr>
          <w:p w:rsidRPr="00ED7069" w:rsidR="00ED7069" w:rsidP="07D401FC" w:rsidRDefault="00ED7069" w14:paraId="76F9A413" w14:textId="3140EF64">
            <w:pPr>
              <w:rPr>
                <w:b w:val="1"/>
                <w:bCs w:val="1"/>
                <w:lang w:val="en-GB"/>
              </w:rPr>
            </w:pPr>
            <w:r w:rsidRPr="07D401FC" w:rsidR="00ED7069">
              <w:rPr>
                <w:b w:val="1"/>
                <w:bCs w:val="1"/>
                <w:lang w:val="en-GB"/>
              </w:rPr>
              <w:t>Permitted aids</w:t>
            </w:r>
          </w:p>
        </w:tc>
        <w:tc>
          <w:tcPr>
            <w:tcW w:w="0" w:type="auto"/>
            <w:tcMar/>
            <w:vAlign w:val="center"/>
            <w:hideMark/>
          </w:tcPr>
          <w:p w:rsidRPr="00ED7069" w:rsidR="00ED7069" w:rsidP="00ED7069" w:rsidRDefault="00ED7069" w14:paraId="62185A72" w14:textId="77777777">
            <w:pPr>
              <w:rPr>
                <w:b/>
                <w:bCs/>
              </w:rPr>
            </w:pPr>
            <w:r w:rsidRPr="00ED7069">
              <w:rPr>
                <w:b/>
                <w:bCs/>
              </w:rPr>
              <w:t>With certain aids:</w:t>
            </w:r>
          </w:p>
          <w:p w:rsidRPr="00ED7069" w:rsidR="00ED7069" w:rsidP="00ED7069" w:rsidRDefault="00ED7069" w14:paraId="5B52B6D5" w14:textId="77777777">
            <w:pPr>
              <w:rPr>
                <w:b/>
                <w:bCs/>
              </w:rPr>
            </w:pPr>
            <w:r w:rsidRPr="00ED7069">
              <w:rPr>
                <w:b/>
                <w:bCs/>
              </w:rPr>
              <w:t>Please see Semester Description.</w:t>
            </w:r>
          </w:p>
        </w:tc>
      </w:tr>
      <w:tr w:rsidRPr="00ED7069" w:rsidR="00ED7069" w:rsidTr="07D401FC" w14:paraId="433D6609" w14:textId="77777777">
        <w:trPr>
          <w:tblCellSpacing w:w="15" w:type="dxa"/>
        </w:trPr>
        <w:tc>
          <w:tcPr>
            <w:tcW w:w="0" w:type="auto"/>
            <w:tcMar/>
            <w:vAlign w:val="center"/>
            <w:hideMark/>
          </w:tcPr>
          <w:p w:rsidRPr="00ED7069" w:rsidR="00ED7069" w:rsidP="00ED7069" w:rsidRDefault="00ED7069" w14:paraId="2E78466C" w14:textId="77777777">
            <w:pPr>
              <w:rPr>
                <w:b/>
                <w:bCs/>
              </w:rPr>
            </w:pPr>
            <w:r w:rsidRPr="00ED7069">
              <w:rPr>
                <w:b/>
                <w:bCs/>
              </w:rPr>
              <w:t>Assessment</w:t>
            </w:r>
          </w:p>
        </w:tc>
        <w:tc>
          <w:tcPr>
            <w:tcW w:w="0" w:type="auto"/>
            <w:tcMar/>
            <w:vAlign w:val="center"/>
            <w:hideMark/>
          </w:tcPr>
          <w:p w:rsidRPr="00ED7069" w:rsidR="00ED7069" w:rsidP="00ED7069" w:rsidRDefault="00ED7069" w14:paraId="57326444" w14:textId="77777777">
            <w:pPr>
              <w:rPr>
                <w:b/>
                <w:bCs/>
              </w:rPr>
            </w:pPr>
            <w:r w:rsidRPr="00ED7069">
              <w:rPr>
                <w:b/>
                <w:bCs/>
              </w:rPr>
              <w:t>7-point grading scale</w:t>
            </w:r>
          </w:p>
        </w:tc>
      </w:tr>
      <w:tr w:rsidRPr="00ED7069" w:rsidR="00ED7069" w:rsidTr="07D401FC" w14:paraId="529D0097" w14:textId="77777777">
        <w:trPr>
          <w:tblCellSpacing w:w="15" w:type="dxa"/>
        </w:trPr>
        <w:tc>
          <w:tcPr>
            <w:tcW w:w="0" w:type="auto"/>
            <w:tcMar/>
            <w:vAlign w:val="center"/>
            <w:hideMark/>
          </w:tcPr>
          <w:p w:rsidRPr="00ED7069" w:rsidR="00ED7069" w:rsidP="00ED7069" w:rsidRDefault="00ED7069" w14:paraId="25803F3D" w14:textId="77777777">
            <w:pPr>
              <w:rPr>
                <w:b/>
                <w:bCs/>
              </w:rPr>
            </w:pPr>
            <w:r w:rsidRPr="00ED7069">
              <w:rPr>
                <w:b/>
                <w:bCs/>
              </w:rPr>
              <w:t>Type of grading</w:t>
            </w:r>
          </w:p>
        </w:tc>
        <w:tc>
          <w:tcPr>
            <w:tcW w:w="0" w:type="auto"/>
            <w:tcMar/>
            <w:vAlign w:val="center"/>
            <w:hideMark/>
          </w:tcPr>
          <w:p w:rsidRPr="00ED7069" w:rsidR="00ED7069" w:rsidP="00ED7069" w:rsidRDefault="00ED7069" w14:paraId="4406C414" w14:textId="77777777">
            <w:pPr>
              <w:rPr>
                <w:b/>
                <w:bCs/>
              </w:rPr>
            </w:pPr>
            <w:r w:rsidRPr="00ED7069">
              <w:rPr>
                <w:b/>
                <w:bCs/>
              </w:rPr>
              <w:t>Internal examination</w:t>
            </w:r>
          </w:p>
        </w:tc>
      </w:tr>
      <w:tr w:rsidRPr="00ED7069" w:rsidR="00ED7069" w:rsidTr="07D401FC" w14:paraId="0FF4436B" w14:textId="77777777">
        <w:trPr>
          <w:tblCellSpacing w:w="15" w:type="dxa"/>
        </w:trPr>
        <w:tc>
          <w:tcPr>
            <w:tcW w:w="0" w:type="auto"/>
            <w:tcMar/>
            <w:vAlign w:val="center"/>
            <w:hideMark/>
          </w:tcPr>
          <w:p w:rsidRPr="00ED7069" w:rsidR="00ED7069" w:rsidP="00ED7069" w:rsidRDefault="00ED7069" w14:paraId="6C2C8C13" w14:textId="77777777">
            <w:pPr>
              <w:rPr>
                <w:b/>
                <w:bCs/>
              </w:rPr>
            </w:pPr>
            <w:r w:rsidRPr="00ED7069">
              <w:rPr>
                <w:b/>
                <w:bCs/>
              </w:rPr>
              <w:t>Criteria of assessment</w:t>
            </w:r>
          </w:p>
        </w:tc>
        <w:tc>
          <w:tcPr>
            <w:tcW w:w="0" w:type="auto"/>
            <w:tcMar/>
            <w:vAlign w:val="center"/>
            <w:hideMark/>
          </w:tcPr>
          <w:p w:rsidRPr="00ED7069" w:rsidR="00ED7069" w:rsidP="00ED7069" w:rsidRDefault="00ED7069" w14:paraId="0406B256" w14:textId="77777777">
            <w:pPr>
              <w:rPr>
                <w:b/>
                <w:bCs/>
              </w:rPr>
            </w:pPr>
            <w:r w:rsidRPr="00ED7069">
              <w:rPr>
                <w:b/>
                <w:bCs/>
              </w:rPr>
              <w:t>The criteria of assessment are stated in the Examination Policies and Procedures</w:t>
            </w:r>
          </w:p>
        </w:tc>
      </w:tr>
    </w:tbl>
    <w:p w:rsidR="00ED7069" w:rsidP="00ED7069" w:rsidRDefault="00ED7069" w14:paraId="07B9C2BB" w14:textId="77777777">
      <w:pPr>
        <w:rPr>
          <w:b/>
          <w:bCs/>
        </w:rPr>
      </w:pPr>
    </w:p>
    <w:p w:rsidR="00DE4FDE" w:rsidRDefault="00DE4FDE" w14:paraId="2F4C5E63" w14:textId="77777777"/>
    <w:sectPr w:rsidR="00DE4FDE">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724CE"/>
    <w:multiLevelType w:val="multilevel"/>
    <w:tmpl w:val="60E4A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83F0CDF"/>
    <w:multiLevelType w:val="multilevel"/>
    <w:tmpl w:val="F26E30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AC40B90"/>
    <w:multiLevelType w:val="multilevel"/>
    <w:tmpl w:val="929629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10644841">
    <w:abstractNumId w:val="0"/>
  </w:num>
  <w:num w:numId="2" w16cid:durableId="1385332226">
    <w:abstractNumId w:val="2"/>
  </w:num>
  <w:num w:numId="3" w16cid:durableId="467363354">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5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DE"/>
    <w:rsid w:val="00024DBC"/>
    <w:rsid w:val="00143CC5"/>
    <w:rsid w:val="001E46E2"/>
    <w:rsid w:val="00244124"/>
    <w:rsid w:val="005A6FBF"/>
    <w:rsid w:val="006509A0"/>
    <w:rsid w:val="006A0B81"/>
    <w:rsid w:val="006D78A4"/>
    <w:rsid w:val="00756E48"/>
    <w:rsid w:val="008D33AC"/>
    <w:rsid w:val="0092742D"/>
    <w:rsid w:val="009876A7"/>
    <w:rsid w:val="00A8251A"/>
    <w:rsid w:val="00B62074"/>
    <w:rsid w:val="00BC3A36"/>
    <w:rsid w:val="00DE4FDE"/>
    <w:rsid w:val="00E67CA4"/>
    <w:rsid w:val="00EA2039"/>
    <w:rsid w:val="00EA6F1B"/>
    <w:rsid w:val="00EB428B"/>
    <w:rsid w:val="00ED7069"/>
    <w:rsid w:val="00F24ED0"/>
    <w:rsid w:val="07D401FC"/>
    <w:rsid w:val="61AE2D37"/>
    <w:rsid w:val="69D48426"/>
    <w:rsid w:val="7E66EB6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65DAB99"/>
  <w15:chartTrackingRefBased/>
  <w15:docId w15:val="{8703C9EF-6FAB-BC45-B970-CE91656EF1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4FD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FD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FD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E4FD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E4FD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E4FD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E4FD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E4FD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E4FD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E4FD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E4FD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E4FDE"/>
    <w:rPr>
      <w:rFonts w:eastAsiaTheme="majorEastAsia" w:cstheme="majorBidi"/>
      <w:color w:val="272727" w:themeColor="text1" w:themeTint="D8"/>
    </w:rPr>
  </w:style>
  <w:style w:type="paragraph" w:styleId="Title">
    <w:name w:val="Title"/>
    <w:basedOn w:val="Normal"/>
    <w:next w:val="Normal"/>
    <w:link w:val="TitleChar"/>
    <w:uiPriority w:val="10"/>
    <w:qFormat/>
    <w:rsid w:val="00DE4FD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E4FD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E4FD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E4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FDE"/>
    <w:pPr>
      <w:spacing w:before="160"/>
      <w:jc w:val="center"/>
    </w:pPr>
    <w:rPr>
      <w:i/>
      <w:iCs/>
      <w:color w:val="404040" w:themeColor="text1" w:themeTint="BF"/>
    </w:rPr>
  </w:style>
  <w:style w:type="character" w:styleId="QuoteChar" w:customStyle="1">
    <w:name w:val="Quote Char"/>
    <w:basedOn w:val="DefaultParagraphFont"/>
    <w:link w:val="Quote"/>
    <w:uiPriority w:val="29"/>
    <w:rsid w:val="00DE4FDE"/>
    <w:rPr>
      <w:i/>
      <w:iCs/>
      <w:color w:val="404040" w:themeColor="text1" w:themeTint="BF"/>
    </w:rPr>
  </w:style>
  <w:style w:type="paragraph" w:styleId="ListParagraph">
    <w:name w:val="List Paragraph"/>
    <w:basedOn w:val="Normal"/>
    <w:uiPriority w:val="34"/>
    <w:qFormat/>
    <w:rsid w:val="00DE4FDE"/>
    <w:pPr>
      <w:ind w:left="720"/>
      <w:contextualSpacing/>
    </w:pPr>
  </w:style>
  <w:style w:type="character" w:styleId="IntenseEmphasis">
    <w:name w:val="Intense Emphasis"/>
    <w:basedOn w:val="DefaultParagraphFont"/>
    <w:uiPriority w:val="21"/>
    <w:qFormat/>
    <w:rsid w:val="00DE4FDE"/>
    <w:rPr>
      <w:i/>
      <w:iCs/>
      <w:color w:val="0F4761" w:themeColor="accent1" w:themeShade="BF"/>
    </w:rPr>
  </w:style>
  <w:style w:type="paragraph" w:styleId="IntenseQuote">
    <w:name w:val="Intense Quote"/>
    <w:basedOn w:val="Normal"/>
    <w:next w:val="Normal"/>
    <w:link w:val="IntenseQuoteChar"/>
    <w:uiPriority w:val="30"/>
    <w:qFormat/>
    <w:rsid w:val="00DE4FD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E4FDE"/>
    <w:rPr>
      <w:i/>
      <w:iCs/>
      <w:color w:val="0F4761" w:themeColor="accent1" w:themeShade="BF"/>
    </w:rPr>
  </w:style>
  <w:style w:type="character" w:styleId="IntenseReference">
    <w:name w:val="Intense Reference"/>
    <w:basedOn w:val="DefaultParagraphFont"/>
    <w:uiPriority w:val="32"/>
    <w:qFormat/>
    <w:rsid w:val="00DE4FDE"/>
    <w:rPr>
      <w:b/>
      <w:bCs/>
      <w:smallCaps/>
      <w:color w:val="0F4761" w:themeColor="accent1" w:themeShade="BF"/>
      <w:spacing w:val="5"/>
    </w:rPr>
  </w:style>
  <w:style w:type="character" w:styleId="CommentReference">
    <w:name w:val="annotation reference"/>
    <w:basedOn w:val="DefaultParagraphFont"/>
    <w:uiPriority w:val="99"/>
    <w:semiHidden/>
    <w:unhideWhenUsed/>
    <w:rsid w:val="00E67CA4"/>
    <w:rPr>
      <w:sz w:val="16"/>
      <w:szCs w:val="16"/>
    </w:rPr>
  </w:style>
  <w:style w:type="paragraph" w:styleId="CommentText">
    <w:name w:val="annotation text"/>
    <w:basedOn w:val="Normal"/>
    <w:link w:val="CommentTextChar"/>
    <w:uiPriority w:val="99"/>
    <w:semiHidden/>
    <w:unhideWhenUsed/>
    <w:rsid w:val="00E67CA4"/>
    <w:pPr>
      <w:spacing w:line="240" w:lineRule="auto"/>
    </w:pPr>
    <w:rPr>
      <w:sz w:val="20"/>
      <w:szCs w:val="20"/>
    </w:rPr>
  </w:style>
  <w:style w:type="character" w:styleId="CommentTextChar" w:customStyle="1">
    <w:name w:val="Comment Text Char"/>
    <w:basedOn w:val="DefaultParagraphFont"/>
    <w:link w:val="CommentText"/>
    <w:uiPriority w:val="99"/>
    <w:semiHidden/>
    <w:rsid w:val="00E67CA4"/>
    <w:rPr>
      <w:sz w:val="20"/>
      <w:szCs w:val="20"/>
    </w:rPr>
  </w:style>
  <w:style w:type="paragraph" w:styleId="CommentSubject">
    <w:name w:val="annotation subject"/>
    <w:basedOn w:val="CommentText"/>
    <w:next w:val="CommentText"/>
    <w:link w:val="CommentSubjectChar"/>
    <w:uiPriority w:val="99"/>
    <w:semiHidden/>
    <w:unhideWhenUsed/>
    <w:rsid w:val="00E67CA4"/>
    <w:rPr>
      <w:b/>
      <w:bCs/>
    </w:rPr>
  </w:style>
  <w:style w:type="character" w:styleId="CommentSubjectChar" w:customStyle="1">
    <w:name w:val="Comment Subject Char"/>
    <w:basedOn w:val="CommentTextChar"/>
    <w:link w:val="CommentSubject"/>
    <w:uiPriority w:val="99"/>
    <w:semiHidden/>
    <w:rsid w:val="00E67C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571020">
      <w:bodyDiv w:val="1"/>
      <w:marLeft w:val="0"/>
      <w:marRight w:val="0"/>
      <w:marTop w:val="0"/>
      <w:marBottom w:val="0"/>
      <w:divBdr>
        <w:top w:val="none" w:sz="0" w:space="0" w:color="auto"/>
        <w:left w:val="none" w:sz="0" w:space="0" w:color="auto"/>
        <w:bottom w:val="none" w:sz="0" w:space="0" w:color="auto"/>
        <w:right w:val="none" w:sz="0" w:space="0" w:color="auto"/>
      </w:divBdr>
    </w:div>
    <w:div w:id="630207791">
      <w:bodyDiv w:val="1"/>
      <w:marLeft w:val="0"/>
      <w:marRight w:val="0"/>
      <w:marTop w:val="0"/>
      <w:marBottom w:val="0"/>
      <w:divBdr>
        <w:top w:val="none" w:sz="0" w:space="0" w:color="auto"/>
        <w:left w:val="none" w:sz="0" w:space="0" w:color="auto"/>
        <w:bottom w:val="none" w:sz="0" w:space="0" w:color="auto"/>
        <w:right w:val="none" w:sz="0" w:space="0" w:color="auto"/>
      </w:divBdr>
    </w:div>
    <w:div w:id="1102795597">
      <w:bodyDiv w:val="1"/>
      <w:marLeft w:val="0"/>
      <w:marRight w:val="0"/>
      <w:marTop w:val="0"/>
      <w:marBottom w:val="0"/>
      <w:divBdr>
        <w:top w:val="none" w:sz="0" w:space="0" w:color="auto"/>
        <w:left w:val="none" w:sz="0" w:space="0" w:color="auto"/>
        <w:bottom w:val="none" w:sz="0" w:space="0" w:color="auto"/>
        <w:right w:val="none" w:sz="0" w:space="0" w:color="auto"/>
      </w:divBdr>
    </w:div>
    <w:div w:id="1202011244">
      <w:bodyDiv w:val="1"/>
      <w:marLeft w:val="0"/>
      <w:marRight w:val="0"/>
      <w:marTop w:val="0"/>
      <w:marBottom w:val="0"/>
      <w:divBdr>
        <w:top w:val="none" w:sz="0" w:space="0" w:color="auto"/>
        <w:left w:val="none" w:sz="0" w:space="0" w:color="auto"/>
        <w:bottom w:val="none" w:sz="0" w:space="0" w:color="auto"/>
        <w:right w:val="none" w:sz="0" w:space="0" w:color="auto"/>
      </w:divBdr>
    </w:div>
    <w:div w:id="1299410113">
      <w:bodyDiv w:val="1"/>
      <w:marLeft w:val="0"/>
      <w:marRight w:val="0"/>
      <w:marTop w:val="0"/>
      <w:marBottom w:val="0"/>
      <w:divBdr>
        <w:top w:val="none" w:sz="0" w:space="0" w:color="auto"/>
        <w:left w:val="none" w:sz="0" w:space="0" w:color="auto"/>
        <w:bottom w:val="none" w:sz="0" w:space="0" w:color="auto"/>
        <w:right w:val="none" w:sz="0" w:space="0" w:color="auto"/>
      </w:divBdr>
      <w:divsChild>
        <w:div w:id="1129056642">
          <w:marLeft w:val="0"/>
          <w:marRight w:val="0"/>
          <w:marTop w:val="0"/>
          <w:marBottom w:val="0"/>
          <w:divBdr>
            <w:top w:val="none" w:sz="0" w:space="0" w:color="auto"/>
            <w:left w:val="none" w:sz="0" w:space="0" w:color="auto"/>
            <w:bottom w:val="none" w:sz="0" w:space="0" w:color="auto"/>
            <w:right w:val="none" w:sz="0" w:space="0" w:color="auto"/>
          </w:divBdr>
        </w:div>
        <w:div w:id="1515535009">
          <w:marLeft w:val="0"/>
          <w:marRight w:val="0"/>
          <w:marTop w:val="0"/>
          <w:marBottom w:val="0"/>
          <w:divBdr>
            <w:top w:val="none" w:sz="0" w:space="0" w:color="auto"/>
            <w:left w:val="none" w:sz="0" w:space="0" w:color="auto"/>
            <w:bottom w:val="none" w:sz="0" w:space="0" w:color="auto"/>
            <w:right w:val="none" w:sz="0" w:space="0" w:color="auto"/>
          </w:divBdr>
        </w:div>
      </w:divsChild>
    </w:div>
    <w:div w:id="1409843119">
      <w:bodyDiv w:val="1"/>
      <w:marLeft w:val="0"/>
      <w:marRight w:val="0"/>
      <w:marTop w:val="0"/>
      <w:marBottom w:val="0"/>
      <w:divBdr>
        <w:top w:val="none" w:sz="0" w:space="0" w:color="auto"/>
        <w:left w:val="none" w:sz="0" w:space="0" w:color="auto"/>
        <w:bottom w:val="none" w:sz="0" w:space="0" w:color="auto"/>
        <w:right w:val="none" w:sz="0" w:space="0" w:color="auto"/>
      </w:divBdr>
      <w:divsChild>
        <w:div w:id="1239050282">
          <w:marLeft w:val="0"/>
          <w:marRight w:val="0"/>
          <w:marTop w:val="0"/>
          <w:marBottom w:val="0"/>
          <w:divBdr>
            <w:top w:val="none" w:sz="0" w:space="0" w:color="auto"/>
            <w:left w:val="none" w:sz="0" w:space="0" w:color="auto"/>
            <w:bottom w:val="none" w:sz="0" w:space="0" w:color="auto"/>
            <w:right w:val="none" w:sz="0" w:space="0" w:color="auto"/>
          </w:divBdr>
        </w:div>
        <w:div w:id="87978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31C94AC192F4E4C830C69A87B12DCC4" ma:contentTypeVersion="4" ma:contentTypeDescription="Opret et nyt dokument." ma:contentTypeScope="" ma:versionID="67820b5aafe69988ceda708f67f59f5f">
  <xsd:schema xmlns:xsd="http://www.w3.org/2001/XMLSchema" xmlns:xs="http://www.w3.org/2001/XMLSchema" xmlns:p="http://schemas.microsoft.com/office/2006/metadata/properties" xmlns:ns2="530ea37b-c793-4f8a-a10d-eb0bc805612f" targetNamespace="http://schemas.microsoft.com/office/2006/metadata/properties" ma:root="true" ma:fieldsID="d6e4629bedac57caef0cba2b6cee0a35" ns2:_="">
    <xsd:import namespace="530ea37b-c793-4f8a-a10d-eb0bc80561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ea37b-c793-4f8a-a10d-eb0bc8056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7DC82-1377-46AA-BD90-658FC2D1641E}"/>
</file>

<file path=customXml/itemProps2.xml><?xml version="1.0" encoding="utf-8"?>
<ds:datastoreItem xmlns:ds="http://schemas.openxmlformats.org/officeDocument/2006/customXml" ds:itemID="{87DE19EE-AD8F-45EE-B744-DE87382766FB}"/>
</file>

<file path=customXml/itemProps3.xml><?xml version="1.0" encoding="utf-8"?>
<ds:datastoreItem xmlns:ds="http://schemas.openxmlformats.org/officeDocument/2006/customXml" ds:itemID="{56889B46-3B3D-4D1C-8ED2-8C9108951DC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Sofia Dahl</dc:creator>
  <keywords/>
  <dc:description/>
  <lastModifiedBy>Sofia Dahl</lastModifiedBy>
  <revision>16</revision>
  <dcterms:created xsi:type="dcterms:W3CDTF">2024-08-30T08:56:00.0000000Z</dcterms:created>
  <dcterms:modified xsi:type="dcterms:W3CDTF">2024-09-26T11:32:57.8578626Z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0x010100631C94AC192F4E4C830C69A87B12DCC4</vt:lpwstr>
  </property>
</Properties>
</file>