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16838" w:hRule="exact"/>
        </w:trPr>
        <w:tc>
          <w:tcPr>
            <w:tcBorders>
              <w:top w:val="none" w:color="FFFFFF" w:sz="0"/>
              <w:left w:val="none" w:color="FFFFFF" w:sz="0"/>
              <w:bottom w:val="none" w:color="FFFFFF" w:sz="0"/>
              <w:right w:val="none" w:color="FFFFFF" w:sz="0"/>
            </w:tcBorders>
            <w:shd w:fill="FFFFFF"/>
            <w:vAlign w:val="top"/>
          </w:tcPr>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7500" w:hRule="exact"/>
              </w:trPr>
              <w:tc>
                <w:tcPr>
                  <w:tcBorders>
                    <w:top w:val="none" w:color="FFFFFF" w:sz="0"/>
                    <w:left w:val="none" w:color="FFFFFF" w:sz="0"/>
                    <w:bottom w:val="none" w:color="FFFFFF" w:sz="0"/>
                    <w:right w:val="none" w:color="FFFFFF" w:sz="0"/>
                  </w:tcBorders>
                  <w:shd w:fill="1A2330"/>
                  <w:tcMar>
                    <w:left w:type="dxa" w:w="1200"/>
                    <w:right w:type="dxa" w:w="800"/>
                  </w:tcMar>
                  <w:vAlign w:val="top"/>
                </w:tcPr>
                <w:p>
                  <w:pPr>
                    <w:spacing w:before="1877"/>
                  </w:pPr>
                </w:p>
                <w:p>
                  <w:pPr>
                    <w:spacing w:after="500"/>
                  </w:pPr>
                  <w:r>
                    <w:rPr>
                      <w:rFonts w:ascii="Calibri"/>
                      <w:color w:val="D4875A"/>
                      <w:spacing w:val="60"/>
                      <w:sz w:val="18"/>
                      <w:szCs w:val="18"/>
                    </w:rPr>
                    <w:t xml:space="preserve">S T R A T E G I C   M A R K E T I N G   P L A N   2 0 2 5 - 2 0 2 6</w:t>
                  </w:r>
                </w:p>
                <w:p>
                  <w:pPr>
                    <w:spacing w:after="100"/>
                  </w:pPr>
                  <w:r>
                    <w:rPr>
                      <w:rFonts w:ascii="Arial"/>
                      <w:b/>
                      <w:bCs/>
                      <w:color w:val="FFFFFF"/>
                      <w:sz w:val="80"/>
                      <w:szCs w:val="80"/>
                    </w:rPr>
                    <w:t xml:space="preserve">Growth &amp;</w:t>
                  </w:r>
                </w:p>
                <w:p>
                  <w:pPr>
                    <w:spacing w:after="100"/>
                  </w:pPr>
                  <w:r>
                    <w:rPr>
                      <w:rFonts w:ascii="Arial"/>
                      <w:b/>
                      <w:bCs/>
                      <w:color w:val="FFFFFF"/>
                      <w:sz w:val="80"/>
                      <w:szCs w:val="80"/>
                    </w:rPr>
                    <w:t xml:space="preserve">Acquisition</w:t>
                  </w:r>
                </w:p>
                <w:p>
                  <w:pPr>
                    <w:spacing w:after="200"/>
                  </w:pPr>
                  <w:r>
                    <w:rPr>
                      <w:rFonts w:ascii="Arial"/>
                      <w:b/>
                      <w:bCs/>
                      <w:color w:val="FFFFFF"/>
                      <w:sz w:val="80"/>
                      <w:szCs w:val="80"/>
                    </w:rPr>
                    <w:t xml:space="preserve">Roadmap</w:t>
                  </w:r>
                </w:p>
                <w:p>
                  <w:pPr>
                    <w:spacing w:after="100"/>
                  </w:pPr>
                  <w:r>
                    <w:rPr>
                      <w:rFonts w:ascii="Arial"/>
                      <w:color w:val="B0B8C0"/>
                      <w:sz w:val="24"/>
                      <w:szCs w:val="24"/>
                    </w:rPr>
                    <w:t xml:space="preserve">Multi-Channel Marketing Strategy for TheOneWayGDA</w:t>
                  </w:r>
                </w:p>
              </w:tc>
            </w:tr>
          </w:tbl>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trHeight w:val="60" w:hRule="exact"/>
              </w:trPr>
              <w:tc>
                <w:tcPr>
                  <w:tcBorders>
                    <w:top w:val="none" w:color="FFFFFF" w:sz="0"/>
                    <w:left w:val="none" w:color="FFFFFF" w:sz="0"/>
                    <w:bottom w:val="none" w:color="FFFFFF" w:sz="0"/>
                    <w:right w:val="none" w:color="FFFFFF" w:sz="0"/>
                  </w:tcBorders>
                  <w:shd w:fill="D4875A"/>
                </w:tcPr>
                <w:p>
                  <w:pPr>
                    <w:spacing w:after="0" w:before="0"/>
                  </w:pPr>
                  <w:r>
                    <w:rPr>
                      <w:sz w:val="2"/>
                      <w:szCs w:val="2"/>
                    </w:rPr>
                    <w:t xml:space="preserve"/>
                  </w:r>
                </w:p>
              </w:tc>
            </w:tr>
          </w:tbl>
          <w:p>
            <w:pPr>
              <w:spacing w:before="800"/>
            </w:pPr>
          </w:p>
          <w:p>
            <w:pPr>
              <w:spacing w:after="100"/>
              <w:ind w:left="1200"/>
            </w:pPr>
            <w:r>
              <w:rPr>
                <w:rFonts w:ascii="Arial"/>
                <w:color w:val="90989F"/>
                <w:sz w:val="28"/>
                <w:szCs w:val="28"/>
              </w:rPr>
              <w:t xml:space="preserve">Prepared for: TheOneWayGDA Platform</w:t>
            </w:r>
          </w:p>
          <w:p>
            <w:pPr>
              <w:spacing w:after="100"/>
              <w:ind w:left="1200"/>
            </w:pPr>
            <w:r>
              <w:rPr>
                <w:rFonts w:ascii="Arial"/>
                <w:color w:val="90989F"/>
                <w:sz w:val="28"/>
                <w:szCs w:val="28"/>
              </w:rPr>
              <w:t xml:space="preserve">Category: AI / SaaS / Data Analytics</w:t>
            </w:r>
          </w:p>
          <w:p>
            <w:pPr>
              <w:spacing w:after="100"/>
              <w:ind w:left="1200"/>
            </w:pPr>
            <w:r>
              <w:rPr>
                <w:rFonts w:ascii="Arial"/>
                <w:color w:val="90989F"/>
                <w:sz w:val="28"/>
                <w:szCs w:val="28"/>
              </w:rPr>
              <w:t xml:space="preserve">Date: May 2025</w:t>
            </w:r>
          </w:p>
          <w:p>
            <w:pPr>
              <w:spacing w:before="2000"/>
            </w:pPr>
          </w:p>
          <w:p>
            <w:pPr>
              <w:ind w:left="1200"/>
            </w:pPr>
            <w:r>
              <w:rPr>
                <w:color w:val="909090"/>
                <w:sz w:val="22"/>
                <w:szCs w:val="22"/>
              </w:rPr>
              <w:t xml:space="preserve">Confidential</w:t>
            </w:r>
            <w:r>
              <w:t xml:space="preserve">          </w:t>
            </w:r>
            <w:r>
              <w:rPr>
                <w:color w:val="909090"/>
                <w:sz w:val="22"/>
                <w:szCs w:val="22"/>
              </w:rPr>
              <w:t xml:space="preserve">Version 1.0</w:t>
            </w:r>
          </w:p>
        </w:tc>
      </w:tr>
    </w:tbl>
    <w:p>
      <w:pPr>
        <w:sectPr>
          <w:pgSz w:w="11906" w:h="16838" w:orient="portrait"/>
          <w:pgMar w:top="0" w:right="0" w:bottom="0" w:left="0" w:header="708" w:footer="708" w:gutter="0"/>
          <w:pgNumType/>
          <w:docGrid w:linePitch="360"/>
        </w:sectPr>
      </w:pPr>
    </w:p>
    <w:p>
      <w:pPr>
        <w:spacing w:after="360" w:before="480"/>
        <w:jc w:val="center"/>
      </w:pPr>
      <w:r>
        <w:rPr>
          <w:rFonts w:ascii="Times New Roman"/>
          <w:b/>
          <w:bCs/>
          <w:color w:val="0B1220"/>
          <w:sz w:val="32"/>
          <w:szCs w:val="32"/>
        </w:rPr>
        <w:t xml:space="preserve">Table of Contents</w:t>
      </w:r>
    </w:p>
    <w:sdt>
      <w:sdtPr>
        <w:alias w:val="Table of Content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1. Executive Summary</w:t>
            </w:r>
            <w:r>
              <w:tab/>
            </w:r>
            <w:r>
              <w:fldChar w:fldCharType="begin"/>
            </w:r>
            <w:r>
              <w:instrText xml:space="preserve"> PAGEREF _Toc100000 \h </w:instrText>
            </w:r>
            <w:r>
              <w:fldChar w:fldCharType="separate"/>
            </w:r>
            <w:r>
              <w:t>1</w:t>
            </w:r>
            <w:r>
              <w:fldChar w:fldCharType="end"/>
            </w:r>
          </w:hyperlink>
        </w:p>
        <w:p>
          <w:pPr>
            <w:pStyle w:val="9"/>
            <w:tabs>
              <w:tab w:val="right" w:leader="dot" w:pos="9026"/>
            </w:tabs>
            <w:spacing w:before="120" w:after="60"/>
          </w:pPr>
          <w:hyperlink w:anchor="_Toc100001" w:history="1">
            <w:r>
              <w:rPr>
                <w:rStyle w:val="Hyperlink"/>
              </w:rPr>
              <w:t>2. Current State &amp; Platform Analysis</w:t>
            </w:r>
            <w:r>
              <w:tab/>
            </w:r>
            <w:r>
              <w:fldChar w:fldCharType="begin"/>
            </w:r>
            <w:r>
              <w:instrText xml:space="preserve"> PAGEREF _Toc100001 \h </w:instrText>
            </w:r>
            <w:r>
              <w:fldChar w:fldCharType="separate"/>
            </w:r>
            <w:r>
              <w:t>2</w:t>
            </w:r>
            <w:r>
              <w:fldChar w:fldCharType="end"/>
            </w:r>
          </w:hyperlink>
        </w:p>
        <w:p>
          <w:pPr>
            <w:pStyle w:val="11"/>
            <w:ind w:left="360"/>
            <w:tabs>
              <w:tab w:val="right" w:leader="dot" w:pos="9026"/>
            </w:tabs>
            <w:spacing w:before="120" w:after="60"/>
          </w:pPr>
          <w:hyperlink w:anchor="_Toc100002" w:history="1">
            <w:r>
              <w:rPr>
                <w:rStyle w:val="Hyperlink"/>
              </w:rPr>
              <w:t>2.1 Platform Overview</w:t>
            </w:r>
            <w:r>
              <w:tab/>
            </w:r>
            <w:r>
              <w:fldChar w:fldCharType="begin"/>
            </w:r>
            <w:r>
              <w:instrText xml:space="preserve"> PAGEREF _Toc100002 \h </w:instrText>
            </w:r>
            <w:r>
              <w:fldChar w:fldCharType="separate"/>
            </w:r>
            <w:r>
              <w:t>2</w:t>
            </w:r>
            <w:r>
              <w:fldChar w:fldCharType="end"/>
            </w:r>
          </w:hyperlink>
        </w:p>
        <w:p>
          <w:pPr>
            <w:pStyle w:val="11"/>
            <w:ind w:left="360"/>
            <w:tabs>
              <w:tab w:val="right" w:leader="dot" w:pos="9026"/>
            </w:tabs>
            <w:spacing w:before="120" w:after="60"/>
          </w:pPr>
          <w:hyperlink w:anchor="_Toc100003" w:history="1">
            <w:r>
              <w:rPr>
                <w:rStyle w:val="Hyperlink"/>
              </w:rPr>
              <w:t>2.2 Target Audience Segments</w:t>
            </w:r>
            <w:r>
              <w:tab/>
            </w:r>
            <w:r>
              <w:fldChar w:fldCharType="begin"/>
            </w:r>
            <w:r>
              <w:instrText xml:space="preserve"> PAGEREF _Toc100003 \h </w:instrText>
            </w:r>
            <w:r>
              <w:fldChar w:fldCharType="separate"/>
            </w:r>
            <w:r>
              <w:t>2</w:t>
            </w:r>
            <w:r>
              <w:fldChar w:fldCharType="end"/>
            </w:r>
          </w:hyperlink>
        </w:p>
        <w:p>
          <w:pPr>
            <w:pStyle w:val="11"/>
            <w:ind w:left="360"/>
            <w:tabs>
              <w:tab w:val="right" w:leader="dot" w:pos="9026"/>
            </w:tabs>
            <w:spacing w:before="120" w:after="60"/>
          </w:pPr>
          <w:hyperlink w:anchor="_Toc100004" w:history="1">
            <w:r>
              <w:rPr>
                <w:rStyle w:val="Hyperlink"/>
              </w:rPr>
              <w:t>2.3 Competitive Positioning</w:t>
            </w:r>
            <w:r>
              <w:tab/>
            </w:r>
            <w:r>
              <w:fldChar w:fldCharType="begin"/>
            </w:r>
            <w:r>
              <w:instrText xml:space="preserve"> PAGEREF _Toc100004 \h </w:instrText>
            </w:r>
            <w:r>
              <w:fldChar w:fldCharType="separate"/>
            </w:r>
            <w:r>
              <w:t>3</w:t>
            </w:r>
            <w:r>
              <w:fldChar w:fldCharType="end"/>
            </w:r>
          </w:hyperlink>
        </w:p>
        <w:p>
          <w:pPr>
            <w:pStyle w:val="11"/>
            <w:ind w:left="360"/>
            <w:tabs>
              <w:tab w:val="right" w:leader="dot" w:pos="9026"/>
            </w:tabs>
            <w:spacing w:before="120" w:after="60"/>
          </w:pPr>
          <w:hyperlink w:anchor="_Toc100005" w:history="1">
            <w:r>
              <w:rPr>
                <w:rStyle w:val="Hyperlink"/>
              </w:rPr>
              <w:t>2.4 Monetization Model</w:t>
            </w:r>
            <w:r>
              <w:tab/>
            </w:r>
            <w:r>
              <w:fldChar w:fldCharType="begin"/>
            </w:r>
            <w:r>
              <w:instrText xml:space="preserve"> PAGEREF _Toc100005 \h </w:instrText>
            </w:r>
            <w:r>
              <w:fldChar w:fldCharType="separate"/>
            </w:r>
            <w:r>
              <w:t>3</w:t>
            </w:r>
            <w:r>
              <w:fldChar w:fldCharType="end"/>
            </w:r>
          </w:hyperlink>
        </w:p>
        <w:p>
          <w:pPr>
            <w:pStyle w:val="9"/>
            <w:tabs>
              <w:tab w:val="right" w:leader="dot" w:pos="9026"/>
            </w:tabs>
            <w:spacing w:before="120" w:after="60"/>
          </w:pPr>
          <w:hyperlink w:anchor="_Toc100006" w:history="1">
            <w:r>
              <w:rPr>
                <w:rStyle w:val="Hyperlink"/>
              </w:rPr>
              <w:t>3. Acquisition Strategy: The Six Pillars</w:t>
            </w:r>
            <w:r>
              <w:tab/>
            </w:r>
            <w:r>
              <w:fldChar w:fldCharType="begin"/>
            </w:r>
            <w:r>
              <w:instrText xml:space="preserve"> PAGEREF _Toc100006 \h </w:instrText>
            </w:r>
            <w:r>
              <w:fldChar w:fldCharType="separate"/>
            </w:r>
            <w:r>
              <w:t>3</w:t>
            </w:r>
            <w:r>
              <w:fldChar w:fldCharType="end"/>
            </w:r>
          </w:hyperlink>
        </w:p>
        <w:p>
          <w:pPr>
            <w:pStyle w:val="11"/>
            <w:ind w:left="360"/>
            <w:tabs>
              <w:tab w:val="right" w:leader="dot" w:pos="9026"/>
            </w:tabs>
            <w:spacing w:before="120" w:after="60"/>
          </w:pPr>
          <w:hyperlink w:anchor="_Toc100007" w:history="1">
            <w:r>
              <w:rPr>
                <w:rStyle w:val="Hyperlink"/>
              </w:rPr>
              <w:t>3.1 Search Engine Optimization (SEO)</w:t>
            </w:r>
            <w:r>
              <w:tab/>
            </w:r>
            <w:r>
              <w:fldChar w:fldCharType="begin"/>
            </w:r>
            <w:r>
              <w:instrText xml:space="preserve"> PAGEREF _Toc100007 \h </w:instrText>
            </w:r>
            <w:r>
              <w:fldChar w:fldCharType="separate"/>
            </w:r>
            <w:r>
              <w:t>4</w:t>
            </w:r>
            <w:r>
              <w:fldChar w:fldCharType="end"/>
            </w:r>
          </w:hyperlink>
        </w:p>
        <w:p>
          <w:pPr>
            <w:pStyle w:val="12"/>
            <w:ind w:left="720"/>
            <w:tabs>
              <w:tab w:val="right" w:leader="dot" w:pos="9026"/>
            </w:tabs>
            <w:spacing w:before="120" w:after="60"/>
          </w:pPr>
          <w:hyperlink w:anchor="_Toc100008" w:history="1">
            <w:r>
              <w:rPr>
                <w:rStyle w:val="Hyperlink"/>
              </w:rPr>
              <w:t>3.1.1 Technical SEO Foundation</w:t>
            </w:r>
            <w:r>
              <w:tab/>
            </w:r>
            <w:r>
              <w:fldChar w:fldCharType="begin"/>
            </w:r>
            <w:r>
              <w:instrText xml:space="preserve"> PAGEREF _Toc100008 \h </w:instrText>
            </w:r>
            <w:r>
              <w:fldChar w:fldCharType="separate"/>
            </w:r>
            <w:r>
              <w:t>4</w:t>
            </w:r>
            <w:r>
              <w:fldChar w:fldCharType="end"/>
            </w:r>
          </w:hyperlink>
        </w:p>
        <w:p>
          <w:pPr>
            <w:pStyle w:val="12"/>
            <w:ind w:left="720"/>
            <w:tabs>
              <w:tab w:val="right" w:leader="dot" w:pos="9026"/>
            </w:tabs>
            <w:spacing w:before="120" w:after="60"/>
          </w:pPr>
          <w:hyperlink w:anchor="_Toc100009" w:history="1">
            <w:r>
              <w:rPr>
                <w:rStyle w:val="Hyperlink"/>
              </w:rPr>
              <w:t>3.1.2 Content SEO Strategy</w:t>
            </w:r>
            <w:r>
              <w:tab/>
            </w:r>
            <w:r>
              <w:fldChar w:fldCharType="begin"/>
            </w:r>
            <w:r>
              <w:instrText xml:space="preserve"> PAGEREF _Toc100009 \h </w:instrText>
            </w:r>
            <w:r>
              <w:fldChar w:fldCharType="separate"/>
            </w:r>
            <w:r>
              <w:t>4</w:t>
            </w:r>
            <w:r>
              <w:fldChar w:fldCharType="end"/>
            </w:r>
          </w:hyperlink>
        </w:p>
        <w:p>
          <w:pPr>
            <w:pStyle w:val="12"/>
            <w:ind w:left="720"/>
            <w:tabs>
              <w:tab w:val="right" w:leader="dot" w:pos="9026"/>
            </w:tabs>
            <w:spacing w:before="120" w:after="60"/>
          </w:pPr>
          <w:hyperlink w:anchor="_Toc100010" w:history="1">
            <w:r>
              <w:rPr>
                <w:rStyle w:val="Hyperlink"/>
              </w:rPr>
              <w:t>3.1.3 Link Building &amp; Domain Authority</w:t>
            </w:r>
            <w:r>
              <w:tab/>
            </w:r>
            <w:r>
              <w:fldChar w:fldCharType="begin"/>
            </w:r>
            <w:r>
              <w:instrText xml:space="preserve"> PAGEREF _Toc100010 \h </w:instrText>
            </w:r>
            <w:r>
              <w:fldChar w:fldCharType="separate"/>
            </w:r>
            <w:r>
              <w:t>4</w:t>
            </w:r>
            <w:r>
              <w:fldChar w:fldCharType="end"/>
            </w:r>
          </w:hyperlink>
        </w:p>
        <w:p>
          <w:pPr>
            <w:pStyle w:val="11"/>
            <w:ind w:left="360"/>
            <w:tabs>
              <w:tab w:val="right" w:leader="dot" w:pos="9026"/>
            </w:tabs>
            <w:spacing w:before="120" w:after="60"/>
          </w:pPr>
          <w:hyperlink w:anchor="_Toc100011" w:history="1">
            <w:r>
              <w:rPr>
                <w:rStyle w:val="Hyperlink"/>
              </w:rPr>
              <w:t>3.2 Paid Advertising</w:t>
            </w:r>
            <w:r>
              <w:tab/>
            </w:r>
            <w:r>
              <w:fldChar w:fldCharType="begin"/>
            </w:r>
            <w:r>
              <w:instrText xml:space="preserve"> PAGEREF _Toc100011 \h </w:instrText>
            </w:r>
            <w:r>
              <w:fldChar w:fldCharType="separate"/>
            </w:r>
            <w:r>
              <w:t>5</w:t>
            </w:r>
            <w:r>
              <w:fldChar w:fldCharType="end"/>
            </w:r>
          </w:hyperlink>
        </w:p>
        <w:p>
          <w:pPr>
            <w:pStyle w:val="12"/>
            <w:ind w:left="720"/>
            <w:tabs>
              <w:tab w:val="right" w:leader="dot" w:pos="9026"/>
            </w:tabs>
            <w:spacing w:before="120" w:after="60"/>
          </w:pPr>
          <w:hyperlink w:anchor="_Toc100012" w:history="1">
            <w:r>
              <w:rPr>
                <w:rStyle w:val="Hyperlink"/>
              </w:rPr>
              <w:t>3.2.1 Google Ads Strategy</w:t>
            </w:r>
            <w:r>
              <w:tab/>
            </w:r>
            <w:r>
              <w:fldChar w:fldCharType="begin"/>
            </w:r>
            <w:r>
              <w:instrText xml:space="preserve"> PAGEREF _Toc100012 \h </w:instrText>
            </w:r>
            <w:r>
              <w:fldChar w:fldCharType="separate"/>
            </w:r>
            <w:r>
              <w:t>5</w:t>
            </w:r>
            <w:r>
              <w:fldChar w:fldCharType="end"/>
            </w:r>
          </w:hyperlink>
        </w:p>
        <w:p>
          <w:pPr>
            <w:pStyle w:val="12"/>
            <w:ind w:left="720"/>
            <w:tabs>
              <w:tab w:val="right" w:leader="dot" w:pos="9026"/>
            </w:tabs>
            <w:spacing w:before="120" w:after="60"/>
          </w:pPr>
          <w:hyperlink w:anchor="_Toc100013" w:history="1">
            <w:r>
              <w:rPr>
                <w:rStyle w:val="Hyperlink"/>
              </w:rPr>
              <w:t>3.2.2 LinkedIn Ads</w:t>
            </w:r>
            <w:r>
              <w:tab/>
            </w:r>
            <w:r>
              <w:fldChar w:fldCharType="begin"/>
            </w:r>
            <w:r>
              <w:instrText xml:space="preserve"> PAGEREF _Toc100013 \h </w:instrText>
            </w:r>
            <w:r>
              <w:fldChar w:fldCharType="separate"/>
            </w:r>
            <w:r>
              <w:t>5</w:t>
            </w:r>
            <w:r>
              <w:fldChar w:fldCharType="end"/>
            </w:r>
          </w:hyperlink>
        </w:p>
        <w:p>
          <w:pPr>
            <w:pStyle w:val="12"/>
            <w:ind w:left="720"/>
            <w:tabs>
              <w:tab w:val="right" w:leader="dot" w:pos="9026"/>
            </w:tabs>
            <w:spacing w:before="120" w:after="60"/>
          </w:pPr>
          <w:hyperlink w:anchor="_Toc100014" w:history="1">
            <w:r>
              <w:rPr>
                <w:rStyle w:val="Hyperlink"/>
              </w:rPr>
              <w:t>3.2.3 Social &amp; Community Advertising</w:t>
            </w:r>
            <w:r>
              <w:tab/>
            </w:r>
            <w:r>
              <w:fldChar w:fldCharType="begin"/>
            </w:r>
            <w:r>
              <w:instrText xml:space="preserve"> PAGEREF _Toc100014 \h </w:instrText>
            </w:r>
            <w:r>
              <w:fldChar w:fldCharType="separate"/>
            </w:r>
            <w:r>
              <w:t>6</w:t>
            </w:r>
            <w:r>
              <w:fldChar w:fldCharType="end"/>
            </w:r>
          </w:hyperlink>
        </w:p>
        <w:p>
          <w:pPr>
            <w:pStyle w:val="11"/>
            <w:ind w:left="360"/>
            <w:tabs>
              <w:tab w:val="right" w:leader="dot" w:pos="9026"/>
            </w:tabs>
            <w:spacing w:before="120" w:after="60"/>
          </w:pPr>
          <w:hyperlink w:anchor="_Toc100015" w:history="1">
            <w:r>
              <w:rPr>
                <w:rStyle w:val="Hyperlink"/>
              </w:rPr>
              <w:t>3.3 Content Marketing</w:t>
            </w:r>
            <w:r>
              <w:tab/>
            </w:r>
            <w:r>
              <w:fldChar w:fldCharType="begin"/>
            </w:r>
            <w:r>
              <w:instrText xml:space="preserve"> PAGEREF _Toc100015 \h </w:instrText>
            </w:r>
            <w:r>
              <w:fldChar w:fldCharType="separate"/>
            </w:r>
            <w:r>
              <w:t>6</w:t>
            </w:r>
            <w:r>
              <w:fldChar w:fldCharType="end"/>
            </w:r>
          </w:hyperlink>
        </w:p>
        <w:p>
          <w:pPr>
            <w:pStyle w:val="12"/>
            <w:ind w:left="720"/>
            <w:tabs>
              <w:tab w:val="right" w:leader="dot" w:pos="9026"/>
            </w:tabs>
            <w:spacing w:before="120" w:after="60"/>
          </w:pPr>
          <w:hyperlink w:anchor="_Toc100016" w:history="1">
            <w:r>
              <w:rPr>
                <w:rStyle w:val="Hyperlink"/>
              </w:rPr>
              <w:t>3.3.1 Content Strategy &amp; Calendar</w:t>
            </w:r>
            <w:r>
              <w:tab/>
            </w:r>
            <w:r>
              <w:fldChar w:fldCharType="begin"/>
            </w:r>
            <w:r>
              <w:instrText xml:space="preserve"> PAGEREF _Toc100016 \h </w:instrText>
            </w:r>
            <w:r>
              <w:fldChar w:fldCharType="separate"/>
            </w:r>
            <w:r>
              <w:t>6</w:t>
            </w:r>
            <w:r>
              <w:fldChar w:fldCharType="end"/>
            </w:r>
          </w:hyperlink>
        </w:p>
        <w:p>
          <w:pPr>
            <w:pStyle w:val="12"/>
            <w:ind w:left="720"/>
            <w:tabs>
              <w:tab w:val="right" w:leader="dot" w:pos="9026"/>
            </w:tabs>
            <w:spacing w:before="120" w:after="60"/>
          </w:pPr>
          <w:hyperlink w:anchor="_Toc100017" w:history="1">
            <w:r>
              <w:rPr>
                <w:rStyle w:val="Hyperlink"/>
              </w:rPr>
              <w:t>3.3.2 Thought Leadership &amp; Original Research</w:t>
            </w:r>
            <w:r>
              <w:tab/>
            </w:r>
            <w:r>
              <w:fldChar w:fldCharType="begin"/>
            </w:r>
            <w:r>
              <w:instrText xml:space="preserve"> PAGEREF _Toc100017 \h </w:instrText>
            </w:r>
            <w:r>
              <w:fldChar w:fldCharType="separate"/>
            </w:r>
            <w:r>
              <w:t>6</w:t>
            </w:r>
            <w:r>
              <w:fldChar w:fldCharType="end"/>
            </w:r>
          </w:hyperlink>
        </w:p>
        <w:p>
          <w:pPr>
            <w:pStyle w:val="11"/>
            <w:ind w:left="360"/>
            <w:tabs>
              <w:tab w:val="right" w:leader="dot" w:pos="9026"/>
            </w:tabs>
            <w:spacing w:before="120" w:after="60"/>
          </w:pPr>
          <w:hyperlink w:anchor="_Toc100018" w:history="1">
            <w:r>
              <w:rPr>
                <w:rStyle w:val="Hyperlink"/>
              </w:rPr>
              <w:t>3.4 Email Marketing &amp; Nurturing</w:t>
            </w:r>
            <w:r>
              <w:tab/>
            </w:r>
            <w:r>
              <w:fldChar w:fldCharType="begin"/>
            </w:r>
            <w:r>
              <w:instrText xml:space="preserve"> PAGEREF _Toc100018 \h </w:instrText>
            </w:r>
            <w:r>
              <w:fldChar w:fldCharType="separate"/>
            </w:r>
            <w:r>
              <w:t>7</w:t>
            </w:r>
            <w:r>
              <w:fldChar w:fldCharType="end"/>
            </w:r>
          </w:hyperlink>
        </w:p>
        <w:p>
          <w:pPr>
            <w:pStyle w:val="12"/>
            <w:ind w:left="720"/>
            <w:tabs>
              <w:tab w:val="right" w:leader="dot" w:pos="9026"/>
            </w:tabs>
            <w:spacing w:before="120" w:after="60"/>
          </w:pPr>
          <w:hyperlink w:anchor="_Toc100019" w:history="1">
            <w:r>
              <w:rPr>
                <w:rStyle w:val="Hyperlink"/>
              </w:rPr>
              <w:t>3.4.1 Email Funnel Architecture</w:t>
            </w:r>
            <w:r>
              <w:tab/>
            </w:r>
            <w:r>
              <w:fldChar w:fldCharType="begin"/>
            </w:r>
            <w:r>
              <w:instrText xml:space="preserve"> PAGEREF _Toc100019 \h </w:instrText>
            </w:r>
            <w:r>
              <w:fldChar w:fldCharType="separate"/>
            </w:r>
            <w:r>
              <w:t>7</w:t>
            </w:r>
            <w:r>
              <w:fldChar w:fldCharType="end"/>
            </w:r>
          </w:hyperlink>
        </w:p>
        <w:p>
          <w:pPr>
            <w:pStyle w:val="12"/>
            <w:ind w:left="720"/>
            <w:tabs>
              <w:tab w:val="right" w:leader="dot" w:pos="9026"/>
            </w:tabs>
            <w:spacing w:before="120" w:after="60"/>
          </w:pPr>
          <w:hyperlink w:anchor="_Toc100020" w:history="1">
            <w:r>
              <w:rPr>
                <w:rStyle w:val="Hyperlink"/>
              </w:rPr>
              <w:t>3.4.2 Personalization &amp; Segmentation</w:t>
            </w:r>
            <w:r>
              <w:tab/>
            </w:r>
            <w:r>
              <w:fldChar w:fldCharType="begin"/>
            </w:r>
            <w:r>
              <w:instrText xml:space="preserve"> PAGEREF _Toc100020 \h </w:instrText>
            </w:r>
            <w:r>
              <w:fldChar w:fldCharType="separate"/>
            </w:r>
            <w:r>
              <w:t>7</w:t>
            </w:r>
            <w:r>
              <w:fldChar w:fldCharType="end"/>
            </w:r>
          </w:hyperlink>
        </w:p>
        <w:p>
          <w:pPr>
            <w:pStyle w:val="11"/>
            <w:ind w:left="360"/>
            <w:tabs>
              <w:tab w:val="right" w:leader="dot" w:pos="9026"/>
            </w:tabs>
            <w:spacing w:before="120" w:after="60"/>
          </w:pPr>
          <w:hyperlink w:anchor="_Toc100021" w:history="1">
            <w:r>
              <w:rPr>
                <w:rStyle w:val="Hyperlink"/>
              </w:rPr>
              <w:t>3.5 Marketing Automation</w:t>
            </w:r>
            <w:r>
              <w:tab/>
            </w:r>
            <w:r>
              <w:fldChar w:fldCharType="begin"/>
            </w:r>
            <w:r>
              <w:instrText xml:space="preserve"> PAGEREF _Toc100021 \h </w:instrText>
            </w:r>
            <w:r>
              <w:fldChar w:fldCharType="separate"/>
            </w:r>
            <w:r>
              <w:t>8</w:t>
            </w:r>
            <w:r>
              <w:fldChar w:fldCharType="end"/>
            </w:r>
          </w:hyperlink>
        </w:p>
        <w:p>
          <w:pPr>
            <w:pStyle w:val="12"/>
            <w:ind w:left="720"/>
            <w:tabs>
              <w:tab w:val="right" w:leader="dot" w:pos="9026"/>
            </w:tabs>
            <w:spacing w:before="120" w:after="60"/>
          </w:pPr>
          <w:hyperlink w:anchor="_Toc100022" w:history="1">
            <w:r>
              <w:rPr>
                <w:rStyle w:val="Hyperlink"/>
              </w:rPr>
              <w:t>3.5.1 Automation Infrastructure</w:t>
            </w:r>
            <w:r>
              <w:tab/>
            </w:r>
            <w:r>
              <w:fldChar w:fldCharType="begin"/>
            </w:r>
            <w:r>
              <w:instrText xml:space="preserve"> PAGEREF _Toc100022 \h </w:instrText>
            </w:r>
            <w:r>
              <w:fldChar w:fldCharType="separate"/>
            </w:r>
            <w:r>
              <w:t>8</w:t>
            </w:r>
            <w:r>
              <w:fldChar w:fldCharType="end"/>
            </w:r>
          </w:hyperlink>
        </w:p>
        <w:p>
          <w:pPr>
            <w:pStyle w:val="12"/>
            <w:ind w:left="720"/>
            <w:tabs>
              <w:tab w:val="right" w:leader="dot" w:pos="9026"/>
            </w:tabs>
            <w:spacing w:before="120" w:after="60"/>
          </w:pPr>
          <w:hyperlink w:anchor="_Toc100023" w:history="1">
            <w:r>
              <w:rPr>
                <w:rStyle w:val="Hyperlink"/>
              </w:rPr>
              <w:t>3.5.2 Lead Scoring Model</w:t>
            </w:r>
            <w:r>
              <w:tab/>
            </w:r>
            <w:r>
              <w:fldChar w:fldCharType="begin"/>
            </w:r>
            <w:r>
              <w:instrText xml:space="preserve"> PAGEREF _Toc100023 \h </w:instrText>
            </w:r>
            <w:r>
              <w:fldChar w:fldCharType="separate"/>
            </w:r>
            <w:r>
              <w:t>8</w:t>
            </w:r>
            <w:r>
              <w:fldChar w:fldCharType="end"/>
            </w:r>
          </w:hyperlink>
        </w:p>
        <w:p>
          <w:pPr>
            <w:pStyle w:val="11"/>
            <w:ind w:left="360"/>
            <w:tabs>
              <w:tab w:val="right" w:leader="dot" w:pos="9026"/>
            </w:tabs>
            <w:spacing w:before="120" w:after="60"/>
          </w:pPr>
          <w:hyperlink w:anchor="_Toc100024" w:history="1">
            <w:r>
              <w:rPr>
                <w:rStyle w:val="Hyperlink"/>
              </w:rPr>
              <w:t>3.6 Account-Based Marketing (ABM)</w:t>
            </w:r>
            <w:r>
              <w:tab/>
            </w:r>
            <w:r>
              <w:fldChar w:fldCharType="begin"/>
            </w:r>
            <w:r>
              <w:instrText xml:space="preserve"> PAGEREF _Toc100024 \h </w:instrText>
            </w:r>
            <w:r>
              <w:fldChar w:fldCharType="separate"/>
            </w:r>
            <w:r>
              <w:t>9</w:t>
            </w:r>
            <w:r>
              <w:fldChar w:fldCharType="end"/>
            </w:r>
          </w:hyperlink>
        </w:p>
        <w:p>
          <w:pPr>
            <w:pStyle w:val="12"/>
            <w:ind w:left="720"/>
            <w:tabs>
              <w:tab w:val="right" w:leader="dot" w:pos="9026"/>
            </w:tabs>
            <w:spacing w:before="120" w:after="60"/>
          </w:pPr>
          <w:hyperlink w:anchor="_Toc100025" w:history="1">
            <w:r>
              <w:rPr>
                <w:rStyle w:val="Hyperlink"/>
              </w:rPr>
              <w:t>3.6.1 Target Account Selection</w:t>
            </w:r>
            <w:r>
              <w:tab/>
            </w:r>
            <w:r>
              <w:fldChar w:fldCharType="begin"/>
            </w:r>
            <w:r>
              <w:instrText xml:space="preserve"> PAGEREF _Toc100025 \h </w:instrText>
            </w:r>
            <w:r>
              <w:fldChar w:fldCharType="separate"/>
            </w:r>
            <w:r>
              <w:t>9</w:t>
            </w:r>
            <w:r>
              <w:fldChar w:fldCharType="end"/>
            </w:r>
          </w:hyperlink>
        </w:p>
        <w:p>
          <w:pPr>
            <w:pStyle w:val="12"/>
            <w:ind w:left="720"/>
            <w:tabs>
              <w:tab w:val="right" w:leader="dot" w:pos="9026"/>
            </w:tabs>
            <w:spacing w:before="120" w:after="60"/>
          </w:pPr>
          <w:hyperlink w:anchor="_Toc100026" w:history="1">
            <w:r>
              <w:rPr>
                <w:rStyle w:val="Hyperlink"/>
              </w:rPr>
              <w:t>3.6.2 ABM Campaign Execution</w:t>
            </w:r>
            <w:r>
              <w:tab/>
            </w:r>
            <w:r>
              <w:fldChar w:fldCharType="begin"/>
            </w:r>
            <w:r>
              <w:instrText xml:space="preserve"> PAGEREF _Toc100026 \h </w:instrText>
            </w:r>
            <w:r>
              <w:fldChar w:fldCharType="separate"/>
            </w:r>
            <w:r>
              <w:t>9</w:t>
            </w:r>
            <w:r>
              <w:fldChar w:fldCharType="end"/>
            </w:r>
          </w:hyperlink>
        </w:p>
        <w:p>
          <w:pPr>
            <w:pStyle w:val="9"/>
            <w:tabs>
              <w:tab w:val="right" w:leader="dot" w:pos="9026"/>
            </w:tabs>
            <w:spacing w:before="120" w:after="60"/>
          </w:pPr>
          <w:hyperlink w:anchor="_Toc100027" w:history="1">
            <w:r>
              <w:rPr>
                <w:rStyle w:val="Hyperlink"/>
              </w:rPr>
              <w:t>4. Targeted Advertising Campaigns</w:t>
            </w:r>
            <w:r>
              <w:tab/>
            </w:r>
            <w:r>
              <w:fldChar w:fldCharType="begin"/>
            </w:r>
            <w:r>
              <w:instrText xml:space="preserve"> PAGEREF _Toc100027 \h </w:instrText>
            </w:r>
            <w:r>
              <w:fldChar w:fldCharType="separate"/>
            </w:r>
            <w:r>
              <w:t>10</w:t>
            </w:r>
            <w:r>
              <w:fldChar w:fldCharType="end"/>
            </w:r>
          </w:hyperlink>
        </w:p>
        <w:p>
          <w:pPr>
            <w:pStyle w:val="11"/>
            <w:ind w:left="360"/>
            <w:tabs>
              <w:tab w:val="right" w:leader="dot" w:pos="9026"/>
            </w:tabs>
            <w:spacing w:before="120" w:after="60"/>
          </w:pPr>
          <w:hyperlink w:anchor="_Toc100028" w:history="1">
            <w:r>
              <w:rPr>
                <w:rStyle w:val="Hyperlink"/>
              </w:rPr>
              <w:t>4.1 Campaign Framework</w:t>
            </w:r>
            <w:r>
              <w:tab/>
            </w:r>
            <w:r>
              <w:fldChar w:fldCharType="begin"/>
            </w:r>
            <w:r>
              <w:instrText xml:space="preserve"> PAGEREF _Toc100028 \h </w:instrText>
            </w:r>
            <w:r>
              <w:fldChar w:fldCharType="separate"/>
            </w:r>
            <w:r>
              <w:t>10</w:t>
            </w:r>
            <w:r>
              <w:fldChar w:fldCharType="end"/>
            </w:r>
          </w:hyperlink>
        </w:p>
        <w:p>
          <w:pPr>
            <w:pStyle w:val="11"/>
            <w:ind w:left="360"/>
            <w:tabs>
              <w:tab w:val="right" w:leader="dot" w:pos="9026"/>
            </w:tabs>
            <w:spacing w:before="120" w:after="60"/>
          </w:pPr>
          <w:hyperlink w:anchor="_Toc100029" w:history="1">
            <w:r>
              <w:rPr>
                <w:rStyle w:val="Hyperlink"/>
              </w:rPr>
              <w:t>4.2 Campaign Portfolio</w:t>
            </w:r>
            <w:r>
              <w:tab/>
            </w:r>
            <w:r>
              <w:fldChar w:fldCharType="begin"/>
            </w:r>
            <w:r>
              <w:instrText xml:space="preserve"> PAGEREF _Toc100029 \h </w:instrText>
            </w:r>
            <w:r>
              <w:fldChar w:fldCharType="separate"/>
            </w:r>
            <w:r>
              <w:t>10</w:t>
            </w:r>
            <w:r>
              <w:fldChar w:fldCharType="end"/>
            </w:r>
          </w:hyperlink>
        </w:p>
        <w:p>
          <w:pPr>
            <w:pStyle w:val="11"/>
            <w:ind w:left="360"/>
            <w:tabs>
              <w:tab w:val="right" w:leader="dot" w:pos="9026"/>
            </w:tabs>
            <w:spacing w:before="120" w:after="60"/>
          </w:pPr>
          <w:hyperlink w:anchor="_Toc100030" w:history="1">
            <w:r>
              <w:rPr>
                <w:rStyle w:val="Hyperlink"/>
              </w:rPr>
              <w:t>4.3 Creative Strategy &amp; Testing</w:t>
            </w:r>
            <w:r>
              <w:tab/>
            </w:r>
            <w:r>
              <w:fldChar w:fldCharType="begin"/>
            </w:r>
            <w:r>
              <w:instrText xml:space="preserve"> PAGEREF _Toc100030 \h </w:instrText>
            </w:r>
            <w:r>
              <w:fldChar w:fldCharType="separate"/>
            </w:r>
            <w:r>
              <w:t>10</w:t>
            </w:r>
            <w:r>
              <w:fldChar w:fldCharType="end"/>
            </w:r>
          </w:hyperlink>
        </w:p>
        <w:p>
          <w:pPr>
            <w:pStyle w:val="9"/>
            <w:tabs>
              <w:tab w:val="right" w:leader="dot" w:pos="9026"/>
            </w:tabs>
            <w:spacing w:before="120" w:after="60"/>
          </w:pPr>
          <w:hyperlink w:anchor="_Toc100031" w:history="1">
            <w:r>
              <w:rPr>
                <w:rStyle w:val="Hyperlink"/>
              </w:rPr>
              <w:t>5. Lead Generation &amp; Qualification</w:t>
            </w:r>
            <w:r>
              <w:tab/>
            </w:r>
            <w:r>
              <w:fldChar w:fldCharType="begin"/>
            </w:r>
            <w:r>
              <w:instrText xml:space="preserve"> PAGEREF _Toc100031 \h </w:instrText>
            </w:r>
            <w:r>
              <w:fldChar w:fldCharType="separate"/>
            </w:r>
            <w:r>
              <w:t>11</w:t>
            </w:r>
            <w:r>
              <w:fldChar w:fldCharType="end"/>
            </w:r>
          </w:hyperlink>
        </w:p>
        <w:p>
          <w:pPr>
            <w:pStyle w:val="11"/>
            <w:ind w:left="360"/>
            <w:tabs>
              <w:tab w:val="right" w:leader="dot" w:pos="9026"/>
            </w:tabs>
            <w:spacing w:before="120" w:after="60"/>
          </w:pPr>
          <w:hyperlink w:anchor="_Toc100032" w:history="1">
            <w:r>
              <w:rPr>
                <w:rStyle w:val="Hyperlink"/>
              </w:rPr>
              <w:t>5.1 Lead Generation Strategy</w:t>
            </w:r>
            <w:r>
              <w:tab/>
            </w:r>
            <w:r>
              <w:fldChar w:fldCharType="begin"/>
            </w:r>
            <w:r>
              <w:instrText xml:space="preserve"> PAGEREF _Toc100032 \h </w:instrText>
            </w:r>
            <w:r>
              <w:fldChar w:fldCharType="separate"/>
            </w:r>
            <w:r>
              <w:t>11</w:t>
            </w:r>
            <w:r>
              <w:fldChar w:fldCharType="end"/>
            </w:r>
          </w:hyperlink>
        </w:p>
        <w:p>
          <w:pPr>
            <w:pStyle w:val="11"/>
            <w:ind w:left="360"/>
            <w:tabs>
              <w:tab w:val="right" w:leader="dot" w:pos="9026"/>
            </w:tabs>
            <w:spacing w:before="120" w:after="60"/>
          </w:pPr>
          <w:hyperlink w:anchor="_Toc100033" w:history="1">
            <w:r>
              <w:rPr>
                <w:rStyle w:val="Hyperlink"/>
              </w:rPr>
              <w:t>5.2 Lead Qualification Framework</w:t>
            </w:r>
            <w:r>
              <w:tab/>
            </w:r>
            <w:r>
              <w:fldChar w:fldCharType="begin"/>
            </w:r>
            <w:r>
              <w:instrText xml:space="preserve"> PAGEREF _Toc100033 \h </w:instrText>
            </w:r>
            <w:r>
              <w:fldChar w:fldCharType="separate"/>
            </w:r>
            <w:r>
              <w:t>11</w:t>
            </w:r>
            <w:r>
              <w:fldChar w:fldCharType="end"/>
            </w:r>
          </w:hyperlink>
        </w:p>
        <w:p>
          <w:pPr>
            <w:pStyle w:val="9"/>
            <w:tabs>
              <w:tab w:val="right" w:leader="dot" w:pos="9026"/>
            </w:tabs>
            <w:spacing w:before="120" w:after="60"/>
          </w:pPr>
          <w:hyperlink w:anchor="_Toc100034" w:history="1">
            <w:r>
              <w:rPr>
                <w:rStyle w:val="Hyperlink"/>
              </w:rPr>
              <w:t>6. Site &amp; Conversion Optimization</w:t>
            </w:r>
            <w:r>
              <w:tab/>
            </w:r>
            <w:r>
              <w:fldChar w:fldCharType="begin"/>
            </w:r>
            <w:r>
              <w:instrText xml:space="preserve"> PAGEREF _Toc100034 \h </w:instrText>
            </w:r>
            <w:r>
              <w:fldChar w:fldCharType="separate"/>
            </w:r>
            <w:r>
              <w:t>12</w:t>
            </w:r>
            <w:r>
              <w:fldChar w:fldCharType="end"/>
            </w:r>
          </w:hyperlink>
        </w:p>
        <w:p>
          <w:pPr>
            <w:pStyle w:val="11"/>
            <w:ind w:left="360"/>
            <w:tabs>
              <w:tab w:val="right" w:leader="dot" w:pos="9026"/>
            </w:tabs>
            <w:spacing w:before="120" w:after="60"/>
          </w:pPr>
          <w:hyperlink w:anchor="_Toc100035" w:history="1">
            <w:r>
              <w:rPr>
                <w:rStyle w:val="Hyperlink"/>
              </w:rPr>
              <w:t>6.1 Conversion Funnel Analysis</w:t>
            </w:r>
            <w:r>
              <w:tab/>
            </w:r>
            <w:r>
              <w:fldChar w:fldCharType="begin"/>
            </w:r>
            <w:r>
              <w:instrText xml:space="preserve"> PAGEREF _Toc100035 \h </w:instrText>
            </w:r>
            <w:r>
              <w:fldChar w:fldCharType="separate"/>
            </w:r>
            <w:r>
              <w:t>12</w:t>
            </w:r>
            <w:r>
              <w:fldChar w:fldCharType="end"/>
            </w:r>
          </w:hyperlink>
        </w:p>
        <w:p>
          <w:pPr>
            <w:pStyle w:val="11"/>
            <w:ind w:left="360"/>
            <w:tabs>
              <w:tab w:val="right" w:leader="dot" w:pos="9026"/>
            </w:tabs>
            <w:spacing w:before="120" w:after="60"/>
          </w:pPr>
          <w:hyperlink w:anchor="_Toc100036" w:history="1">
            <w:r>
              <w:rPr>
                <w:rStyle w:val="Hyperlink"/>
              </w:rPr>
              <w:t>6.2 Landing Page Optimization</w:t>
            </w:r>
            <w:r>
              <w:tab/>
            </w:r>
            <w:r>
              <w:fldChar w:fldCharType="begin"/>
            </w:r>
            <w:r>
              <w:instrText xml:space="preserve"> PAGEREF _Toc100036 \h </w:instrText>
            </w:r>
            <w:r>
              <w:fldChar w:fldCharType="separate"/>
            </w:r>
            <w:r>
              <w:t>12</w:t>
            </w:r>
            <w:r>
              <w:fldChar w:fldCharType="end"/>
            </w:r>
          </w:hyperlink>
        </w:p>
        <w:p>
          <w:pPr>
            <w:pStyle w:val="11"/>
            <w:ind w:left="360"/>
            <w:tabs>
              <w:tab w:val="right" w:leader="dot" w:pos="9026"/>
            </w:tabs>
            <w:spacing w:before="120" w:after="60"/>
          </w:pPr>
          <w:hyperlink w:anchor="_Toc100037" w:history="1">
            <w:r>
              <w:rPr>
                <w:rStyle w:val="Hyperlink"/>
              </w:rPr>
              <w:t>6.3 In-Product Conversion Optimization</w:t>
            </w:r>
            <w:r>
              <w:tab/>
            </w:r>
            <w:r>
              <w:fldChar w:fldCharType="begin"/>
            </w:r>
            <w:r>
              <w:instrText xml:space="preserve"> PAGEREF _Toc100037 \h </w:instrText>
            </w:r>
            <w:r>
              <w:fldChar w:fldCharType="separate"/>
            </w:r>
            <w:r>
              <w:t>13</w:t>
            </w:r>
            <w:r>
              <w:fldChar w:fldCharType="end"/>
            </w:r>
          </w:hyperlink>
        </w:p>
        <w:p>
          <w:pPr>
            <w:pStyle w:val="9"/>
            <w:tabs>
              <w:tab w:val="right" w:leader="dot" w:pos="9026"/>
            </w:tabs>
            <w:spacing w:before="120" w:after="60"/>
          </w:pPr>
          <w:hyperlink w:anchor="_Toc100038" w:history="1">
            <w:r>
              <w:rPr>
                <w:rStyle w:val="Hyperlink"/>
              </w:rPr>
              <w:t>7. Performance Monitoring &amp; Continuous Improvement</w:t>
            </w:r>
            <w:r>
              <w:tab/>
            </w:r>
            <w:r>
              <w:fldChar w:fldCharType="begin"/>
            </w:r>
            <w:r>
              <w:instrText xml:space="preserve"> PAGEREF _Toc100038 \h </w:instrText>
            </w:r>
            <w:r>
              <w:fldChar w:fldCharType="separate"/>
            </w:r>
            <w:r>
              <w:t>13</w:t>
            </w:r>
            <w:r>
              <w:fldChar w:fldCharType="end"/>
            </w:r>
          </w:hyperlink>
        </w:p>
        <w:p>
          <w:pPr>
            <w:pStyle w:val="11"/>
            <w:ind w:left="360"/>
            <w:tabs>
              <w:tab w:val="right" w:leader="dot" w:pos="9026"/>
            </w:tabs>
            <w:spacing w:before="120" w:after="60"/>
          </w:pPr>
          <w:hyperlink w:anchor="_Toc100039" w:history="1">
            <w:r>
              <w:rPr>
                <w:rStyle w:val="Hyperlink"/>
              </w:rPr>
              <w:t>7.1 KPI Dashboard</w:t>
            </w:r>
            <w:r>
              <w:tab/>
            </w:r>
            <w:r>
              <w:fldChar w:fldCharType="begin"/>
            </w:r>
            <w:r>
              <w:instrText xml:space="preserve"> PAGEREF _Toc100039 \h </w:instrText>
            </w:r>
            <w:r>
              <w:fldChar w:fldCharType="separate"/>
            </w:r>
            <w:r>
              <w:t>13</w:t>
            </w:r>
            <w:r>
              <w:fldChar w:fldCharType="end"/>
            </w:r>
          </w:hyperlink>
        </w:p>
        <w:p>
          <w:pPr>
            <w:pStyle w:val="11"/>
            <w:ind w:left="360"/>
            <w:tabs>
              <w:tab w:val="right" w:leader="dot" w:pos="9026"/>
            </w:tabs>
            <w:spacing w:before="120" w:after="60"/>
          </w:pPr>
          <w:hyperlink w:anchor="_Toc100040" w:history="1">
            <w:r>
              <w:rPr>
                <w:rStyle w:val="Hyperlink"/>
              </w:rPr>
              <w:t>7.2 Reporting Cadence &amp; Optimization Cycle</w:t>
            </w:r>
            <w:r>
              <w:tab/>
            </w:r>
            <w:r>
              <w:fldChar w:fldCharType="begin"/>
            </w:r>
            <w:r>
              <w:instrText xml:space="preserve"> PAGEREF _Toc100040 \h </w:instrText>
            </w:r>
            <w:r>
              <w:fldChar w:fldCharType="separate"/>
            </w:r>
            <w:r>
              <w:t>14</w:t>
            </w:r>
            <w:r>
              <w:fldChar w:fldCharType="end"/>
            </w:r>
          </w:hyperlink>
        </w:p>
        <w:p>
          <w:pPr>
            <w:pStyle w:val="9"/>
            <w:tabs>
              <w:tab w:val="right" w:leader="dot" w:pos="9026"/>
            </w:tabs>
            <w:spacing w:before="120" w:after="60"/>
          </w:pPr>
          <w:hyperlink w:anchor="_Toc100041" w:history="1">
            <w:r>
              <w:rPr>
                <w:rStyle w:val="Hyperlink"/>
              </w:rPr>
              <w:t>8. Implementation Roadmap</w:t>
            </w:r>
            <w:r>
              <w:tab/>
            </w:r>
            <w:r>
              <w:fldChar w:fldCharType="begin"/>
            </w:r>
            <w:r>
              <w:instrText xml:space="preserve"> PAGEREF _Toc100041 \h </w:instrText>
            </w:r>
            <w:r>
              <w:fldChar w:fldCharType="separate"/>
            </w:r>
            <w:r>
              <w:t>14</w:t>
            </w:r>
            <w:r>
              <w:fldChar w:fldCharType="end"/>
            </w:r>
          </w:hyperlink>
        </w:p>
        <w:p>
          <w:pPr>
            <w:pStyle w:val="11"/>
            <w:ind w:left="360"/>
            <w:tabs>
              <w:tab w:val="right" w:leader="dot" w:pos="9026"/>
            </w:tabs>
            <w:spacing w:before="120" w:after="60"/>
          </w:pPr>
          <w:hyperlink w:anchor="_Toc100042" w:history="1">
            <w:r>
              <w:rPr>
                <w:rStyle w:val="Hyperlink"/>
              </w:rPr>
              <w:t>8.1 Phase 1: Foundation (Months 1-3)</w:t>
            </w:r>
            <w:r>
              <w:tab/>
            </w:r>
            <w:r>
              <w:fldChar w:fldCharType="begin"/>
            </w:r>
            <w:r>
              <w:instrText xml:space="preserve"> PAGEREF _Toc100042 \h </w:instrText>
            </w:r>
            <w:r>
              <w:fldChar w:fldCharType="separate"/>
            </w:r>
            <w:r>
              <w:t>14</w:t>
            </w:r>
            <w:r>
              <w:fldChar w:fldCharType="end"/>
            </w:r>
          </w:hyperlink>
        </w:p>
        <w:p>
          <w:pPr>
            <w:pStyle w:val="11"/>
            <w:ind w:left="360"/>
            <w:tabs>
              <w:tab w:val="right" w:leader="dot" w:pos="9026"/>
            </w:tabs>
            <w:spacing w:before="120" w:after="60"/>
          </w:pPr>
          <w:hyperlink w:anchor="_Toc100043" w:history="1">
            <w:r>
              <w:rPr>
                <w:rStyle w:val="Hyperlink"/>
              </w:rPr>
              <w:t>8.2 Phase 2: Scaling (Months 4-6)</w:t>
            </w:r>
            <w:r>
              <w:tab/>
            </w:r>
            <w:r>
              <w:fldChar w:fldCharType="begin"/>
            </w:r>
            <w:r>
              <w:instrText xml:space="preserve"> PAGEREF _Toc100043 \h </w:instrText>
            </w:r>
            <w:r>
              <w:fldChar w:fldCharType="separate"/>
            </w:r>
            <w:r>
              <w:t>15</w:t>
            </w:r>
            <w:r>
              <w:fldChar w:fldCharType="end"/>
            </w:r>
          </w:hyperlink>
        </w:p>
        <w:p>
          <w:pPr>
            <w:pStyle w:val="11"/>
            <w:ind w:left="360"/>
            <w:tabs>
              <w:tab w:val="right" w:leader="dot" w:pos="9026"/>
            </w:tabs>
            <w:spacing w:before="120" w:after="60"/>
          </w:pPr>
          <w:hyperlink w:anchor="_Toc100044" w:history="1">
            <w:r>
              <w:rPr>
                <w:rStyle w:val="Hyperlink"/>
              </w:rPr>
              <w:t>8.3 Phase 3: Optimization (Months 7-9)</w:t>
            </w:r>
            <w:r>
              <w:tab/>
            </w:r>
            <w:r>
              <w:fldChar w:fldCharType="begin"/>
            </w:r>
            <w:r>
              <w:instrText xml:space="preserve"> PAGEREF _Toc100044 \h </w:instrText>
            </w:r>
            <w:r>
              <w:fldChar w:fldCharType="separate"/>
            </w:r>
            <w:r>
              <w:t>15</w:t>
            </w:r>
            <w:r>
              <w:fldChar w:fldCharType="end"/>
            </w:r>
          </w:hyperlink>
        </w:p>
        <w:p>
          <w:pPr>
            <w:pStyle w:val="11"/>
            <w:ind w:left="360"/>
            <w:tabs>
              <w:tab w:val="right" w:leader="dot" w:pos="9026"/>
            </w:tabs>
            <w:spacing w:before="120" w:after="60"/>
          </w:pPr>
          <w:hyperlink w:anchor="_Toc100045" w:history="1">
            <w:r>
              <w:rPr>
                <w:rStyle w:val="Hyperlink"/>
              </w:rPr>
              <w:t>8.4 Phase 4: Maturity (Months 10-12)</w:t>
            </w:r>
            <w:r>
              <w:tab/>
            </w:r>
            <w:r>
              <w:fldChar w:fldCharType="begin"/>
            </w:r>
            <w:r>
              <w:instrText xml:space="preserve"> PAGEREF _Toc100045 \h </w:instrText>
            </w:r>
            <w:r>
              <w:fldChar w:fldCharType="separate"/>
            </w:r>
            <w:r>
              <w:t>16</w:t>
            </w:r>
            <w:r>
              <w:fldChar w:fldCharType="end"/>
            </w:r>
          </w:hyperlink>
        </w:p>
        <w:p>
          <w:pPr>
            <w:pStyle w:val="9"/>
            <w:tabs>
              <w:tab w:val="right" w:leader="dot" w:pos="9026"/>
            </w:tabs>
            <w:spacing w:before="120" w:after="60"/>
          </w:pPr>
          <w:hyperlink w:anchor="_Toc100046" w:history="1">
            <w:r>
              <w:rPr>
                <w:rStyle w:val="Hyperlink"/>
              </w:rPr>
              <w:t>9. Budget Allocation</w:t>
            </w:r>
            <w:r>
              <w:tab/>
            </w:r>
            <w:r>
              <w:fldChar w:fldCharType="begin"/>
            </w:r>
            <w:r>
              <w:instrText xml:space="preserve"> PAGEREF _Toc100046 \h </w:instrText>
            </w:r>
            <w:r>
              <w:fldChar w:fldCharType="separate"/>
            </w:r>
            <w:r>
              <w:t>16</w:t>
            </w:r>
            <w:r>
              <w:fldChar w:fldCharType="end"/>
            </w:r>
          </w:hyperlink>
        </w:p>
        <w:p>
          <w:pPr>
            <w:pStyle w:val="9"/>
            <w:tabs>
              <w:tab w:val="right" w:leader="dot" w:pos="9026"/>
            </w:tabs>
            <w:spacing w:before="120" w:after="60"/>
          </w:pPr>
          <w:hyperlink w:anchor="_Toc100047" w:history="1">
            <w:r>
              <w:rPr>
                <w:rStyle w:val="Hyperlink"/>
              </w:rPr>
              <w:t>10. Risk Analysis &amp; Mitigation</w:t>
            </w:r>
            <w:r>
              <w:tab/>
            </w:r>
            <w:r>
              <w:fldChar w:fldCharType="begin"/>
            </w:r>
            <w:r>
              <w:instrText xml:space="preserve"> PAGEREF _Toc100047 \h </w:instrText>
            </w:r>
            <w:r>
              <w:fldChar w:fldCharType="separate"/>
            </w:r>
            <w:r>
              <w:t>17</w:t>
            </w:r>
            <w:r>
              <w:fldChar w:fldCharType="end"/>
            </w:r>
          </w:hyperlink>
        </w:p>
        <w:p>
          <w:pPr>
            <w:pStyle w:val="9"/>
            <w:tabs>
              <w:tab w:val="right" w:leader="dot" w:pos="9026"/>
            </w:tabs>
            <w:spacing w:before="120" w:after="60"/>
          </w:pPr>
          <w:hyperlink w:anchor="_Toc100048" w:history="1">
            <w:r>
              <w:rPr>
                <w:rStyle w:val="Hyperlink"/>
              </w:rPr>
              <w:t>11. Expected Benefits &amp; Evaluation</w:t>
            </w:r>
            <w:r>
              <w:tab/>
            </w:r>
            <w:r>
              <w:fldChar w:fldCharType="begin"/>
            </w:r>
            <w:r>
              <w:instrText xml:space="preserve"> PAGEREF _Toc100048 \h </w:instrText>
            </w:r>
            <w:r>
              <w:fldChar w:fldCharType="separate"/>
            </w:r>
            <w:r>
              <w:t>17</w:t>
            </w:r>
            <w:r>
              <w:fldChar w:fldCharType="end"/>
            </w:r>
          </w:hyperlink>
        </w:p>
        <w:p>
          <w:pPr>
            <w:pStyle w:val="11"/>
            <w:ind w:left="360"/>
            <w:tabs>
              <w:tab w:val="right" w:leader="dot" w:pos="9026"/>
            </w:tabs>
            <w:spacing w:before="120" w:after="60"/>
          </w:pPr>
          <w:hyperlink w:anchor="_Toc100049" w:history="1">
            <w:r>
              <w:rPr>
                <w:rStyle w:val="Hyperlink"/>
              </w:rPr>
              <w:t>11.1 Expected Outcomes</w:t>
            </w:r>
            <w:r>
              <w:tab/>
            </w:r>
            <w:r>
              <w:fldChar w:fldCharType="begin"/>
            </w:r>
            <w:r>
              <w:instrText xml:space="preserve"> PAGEREF _Toc100049 \h </w:instrText>
            </w:r>
            <w:r>
              <w:fldChar w:fldCharType="separate"/>
            </w:r>
            <w:r>
              <w:t>17</w:t>
            </w:r>
            <w:r>
              <w:fldChar w:fldCharType="end"/>
            </w:r>
          </w:hyperlink>
        </w:p>
        <w:p>
          <w:pPr>
            <w:pStyle w:val="11"/>
            <w:ind w:left="360"/>
            <w:tabs>
              <w:tab w:val="right" w:leader="dot" w:pos="9026"/>
            </w:tabs>
            <w:spacing w:before="120" w:after="60"/>
          </w:pPr>
          <w:hyperlink w:anchor="_Toc100050" w:history="1">
            <w:r>
              <w:rPr>
                <w:rStyle w:val="Hyperlink"/>
              </w:rPr>
              <w:t>11.2 Success Evaluation Framework</w:t>
            </w:r>
            <w:r>
              <w:tab/>
            </w:r>
            <w:r>
              <w:fldChar w:fldCharType="begin"/>
            </w:r>
            <w:r>
              <w:instrText xml:space="preserve"> PAGEREF _Toc100050 \h </w:instrText>
            </w:r>
            <w:r>
              <w:fldChar w:fldCharType="separate"/>
            </w:r>
            <w:r>
              <w:t>18</w:t>
            </w:r>
            <w:r>
              <w:fldChar w:fldCharType="end"/>
            </w:r>
          </w:hyperlink>
        </w:p>
        <w:p>
          <w:r>
            <w:fldChar w:fldCharType="end"/>
          </w:r>
        </w:p>
      </w:sdtContent>
    </w:sdt>
    <w:p>
      <w:pPr>
        <w:spacing w:before="200"/>
      </w:pPr>
      <w:r>
        <w:rPr>
          <w:i/>
          <w:iCs/>
          <w:color w:val="888888"/>
          <w:sz w:val="18"/>
          <w:szCs w:val="18"/>
        </w:rPr>
        <w:t xml:space="preserve">Note: This Table of Contents is generated via field codes. To ensure page number accuracy after editing, please right-click the TOC and select "Update Field."</w:t>
      </w:r>
    </w:p>
    <w:p>
      <w:r>
        <w:br w:type="page"/>
      </w:r>
    </w:p>
    <w:p>
      <w:pPr>
        <w:sectPr>
          <w:headerReference w:type="default" r:id="rId7"/>
          <w:footerReference w:type="default" r:id="rId8"/>
          <w:type w:val="nextPage"/>
          <w:pgSz w:w="11906" w:h="16838" w:orient="portrait"/>
          <w:pgMar w:top="1440" w:right="1417" w:bottom="1440" w:left="1701" w:header="708" w:footer="708" w:gutter="0"/>
          <w:pgNumType w:start="1" w:fmt="upperRoman"/>
          <w:docGrid w:linePitch="360"/>
        </w:sectPr>
      </w:pPr>
    </w:p>
    <w:p>
      <w:pPr>
        <w:pStyle w:val="Heading1"/>
        <w:spacing w:after="160" w:before="360" w:line="312"/>
      </w:pPr>
      <w:bookmarkStart w:id="100000" w:name="_Toc100000"/>
      <w:r>
        <w:rPr>
          <w:rFonts w:ascii="Times New Roman"/>
          <w:b/>
          <w:bCs/>
          <w:color w:val="0B1220"/>
          <w:sz w:val="32"/>
          <w:szCs w:val="32"/>
        </w:rPr>
        <w:t xml:space="preserve">1. Executive Summary</w:t>
      </w:r>
      <w:bookmarkEnd w:id="100000"/>
    </w:p>
    <w:p>
      <w:pPr>
        <w:spacing w:after="120" w:line="312"/>
        <w:ind w:firstLine="480"/>
        <w:jc w:val="both"/>
      </w:pPr>
      <w:r>
        <w:rPr>
          <w:rFonts w:ascii="Times New Roman"/>
          <w:color w:val="000000"/>
          <w:sz w:val="24"/>
          <w:szCs w:val="24"/>
        </w:rPr>
        <w:t xml:space="preserve">This document presents a comprehensive, multi-channel growth and acquisition roadmap designed to position TheOneWayGDA as the leading AI model comparison and evaluation platform for data scientists, AI researchers, and enterprise decision-makers. The platform already offers a feature-rich product with 127 pages, including an AI model leaderboard tracking 19+ models across 6 standardized benchmarks, a full statistical analysis workspace, 7 specialist AI assistants, a no-code automation engine, and an active community portal with collaborative features.</w:t>
      </w:r>
    </w:p>
    <w:p>
      <w:pPr>
        <w:spacing w:after="120" w:line="312"/>
        <w:ind w:firstLine="480"/>
        <w:jc w:val="both"/>
      </w:pPr>
      <w:r>
        <w:rPr>
          <w:rFonts w:ascii="Times New Roman"/>
          <w:color w:val="000000"/>
          <w:sz w:val="24"/>
          <w:szCs w:val="24"/>
        </w:rPr>
        <w:t xml:space="preserve">The primary objective of this roadmap is to build a predictable, scalable pipeline of qualified users who convert from free tier to paid subscriptions (Pro at $29/month and Enterprise at $99/month). The strategy leverages six interconnected pillars: Search Engine Optimization (SEO) for organic authority, paid advertising for immediate reach, content marketing for thought leadership, email marketing for nurturing and retention, marketing automation for operational efficiency, and Account-Based Marketing (ABM) for high-value enterprise acquisition. Each pillar is designed to reinforce the others, creating a flywheel effect where organic visibility feeds paid performance, content drives email signups, automation qualifies leads, and ABM accelerates enterprise deals.</w:t>
      </w:r>
    </w:p>
    <w:p>
      <w:pPr>
        <w:spacing w:after="120" w:line="312"/>
        <w:ind w:firstLine="480"/>
        <w:jc w:val="both"/>
      </w:pPr>
      <w:r>
        <w:rPr>
          <w:rFonts w:ascii="Times New Roman"/>
          <w:color w:val="000000"/>
          <w:sz w:val="24"/>
          <w:szCs w:val="24"/>
        </w:rPr>
        <w:t xml:space="preserve">The implementation follows a phased approach over 12 months, starting with foundational infrastructure (analytics, tracking, SEO technical audit, content calendar) in months one through three, scaling acquisition channels in months four through six, optimizing conversion and expanding ABM in months seven through nine, and refining for efficiency and predictable growth in months ten through twelve. Success will be measured against clearly defined KPIs including organic traffic growth, cost-per-acquisition (CPA), conversion rate, monthly recurring revenue (MRR), and customer lifetime value (CLV). This roadmap provides the strategic framework, tactical playbooks, and measurement criteria needed to transform TheOneWayGDA from a feature-complete product into a market-leading platform with sustainable revenue growth.</w:t>
      </w:r>
    </w:p>
    <w:p>
      <w:pPr>
        <w:pStyle w:val="Heading1"/>
        <w:spacing w:after="160" w:before="360" w:line="312"/>
      </w:pPr>
      <w:bookmarkStart w:id="100001" w:name="_Toc100001"/>
      <w:r>
        <w:rPr>
          <w:rFonts w:ascii="Times New Roman"/>
          <w:b/>
          <w:bCs/>
          <w:color w:val="0B1220"/>
          <w:sz w:val="32"/>
          <w:szCs w:val="32"/>
        </w:rPr>
        <w:t xml:space="preserve">2. Current State &amp; Platform Analysis</w:t>
      </w:r>
      <w:bookmarkEnd w:id="100001"/>
    </w:p>
    <w:p>
      <w:pPr>
        <w:pStyle w:val="Heading2"/>
        <w:spacing w:after="120" w:before="280" w:line="312"/>
      </w:pPr>
      <w:bookmarkStart w:id="100002" w:name="_Toc100002"/>
      <w:r>
        <w:rPr>
          <w:rFonts w:ascii="Times New Roman"/>
          <w:b/>
          <w:bCs/>
          <w:color w:val="0B1220"/>
          <w:sz w:val="28"/>
          <w:szCs w:val="28"/>
        </w:rPr>
        <w:t xml:space="preserve">2.1 Platform Overview</w:t>
      </w:r>
      <w:bookmarkEnd w:id="100002"/>
    </w:p>
    <w:p>
      <w:pPr>
        <w:spacing w:after="120" w:line="312"/>
        <w:ind w:firstLine="480"/>
        <w:jc w:val="both"/>
      </w:pPr>
      <w:r>
        <w:rPr>
          <w:rFonts w:ascii="Times New Roman"/>
          <w:color w:val="000000"/>
          <w:sz w:val="24"/>
          <w:szCs w:val="24"/>
        </w:rPr>
        <w:t xml:space="preserve">TheOneWayGDA is a comprehensive AI model comparison and evaluation platform built on Next.js 16 with a modern tech stack including TypeScript, Tailwind CSS 4, and shadcn/ui. The platform currently serves 127 statically generated pages and 100+ API routes, backed by a Prisma ORM with PostgreSQL. The product is positioned at the intersection of AI benchmarking, statistical analysis, and workflow automation, targeting three primary user segments: individual AI practitioners and researchers who need to compare model performance, data science teams requiring collaborative analysis tools, and enterprise organizations looking for AI governance and evaluation infrastructure.</w:t>
      </w:r>
    </w:p>
    <w:p>
      <w:pPr>
        <w:spacing w:after="120" w:line="312"/>
        <w:ind w:firstLine="480"/>
        <w:jc w:val="both"/>
      </w:pPr>
      <w:r>
        <w:rPr>
          <w:rFonts w:ascii="Times New Roman"/>
          <w:color w:val="000000"/>
          <w:sz w:val="24"/>
          <w:szCs w:val="24"/>
        </w:rPr>
        <w:t xml:space="preserve">The platform's flagship feature is the AI Model Leaderboard, which tracks 19+ AI models including GPT-4o, Claude 4, Gemini 2.5, and DeepSeek across six industry-standard benchmarks (GPQA Diamond, MMLU-Pro, HumanEval+, MATH-500, MT-Bench, and IFEval). This leaderboard provides live latency and throughput metrics alongside pricing comparisons, making it a uniquely valuable resource for organizations evaluating which AI models to adopt. Beyond the leaderboard, the platform offers a full statistical analysis workspace with 50+ tests, 7 specialist AI assistants, a no-code automation engine, and a community portal for AI news and research discussion.</w:t>
      </w:r>
    </w:p>
    <w:p>
      <w:pPr>
        <w:pStyle w:val="Heading2"/>
        <w:spacing w:after="120" w:before="280" w:line="312"/>
      </w:pPr>
      <w:bookmarkStart w:id="100003" w:name="_Toc100003"/>
      <w:r>
        <w:rPr>
          <w:rFonts w:ascii="Times New Roman"/>
          <w:b/>
          <w:bCs/>
          <w:color w:val="0B1220"/>
          <w:sz w:val="28"/>
          <w:szCs w:val="28"/>
        </w:rPr>
        <w:t xml:space="preserve">2.2 Target Audience Segments</w:t>
      </w:r>
      <w:bookmarkEnd w:id="100003"/>
    </w:p>
    <w:p>
      <w:pPr>
        <w:keepNext/>
        <w:spacing w:after="80" w:before="200" w:line="312"/>
      </w:pPr>
      <w:r>
        <w:rPr>
          <w:rFonts w:ascii="Times New Roman"/>
          <w:b/>
          <w:bCs/>
          <w:color w:val="506070"/>
          <w:sz w:val="21"/>
          <w:szCs w:val="21"/>
        </w:rPr>
        <w:t xml:space="preserve">Table 1: Target Audience Segmentation</w:t>
      </w:r>
    </w:p>
    <w:tbl>
      <w:tblPr>
        <w:tblW w:type="pct" w:w="100%"/>
        <w:tblBorders>
          <w:top w:val="single" w:color="D4875A" w:sz="2"/>
          <w:left w:val="none"/>
          <w:bottom w:val="single" w:color="D4875A" w:sz="2"/>
          <w:right w:val="none"/>
          <w:insideH w:val="single" w:color="DDD0C8" w:sz="1"/>
          <w:insideV w:val="none"/>
        </w:tblBorders>
        <w:tblLayout w:type="fixed"/>
      </w:tblPr>
      <w:tblGrid>
        <w:gridCol w:w="100"/>
        <w:gridCol w:w="100"/>
        <w:gridCol w:w="100"/>
        <w:gridCol w:w="100"/>
      </w:tblGrid>
      <w:tr>
        <w:trPr>
          <w:cantSplit/>
          <w:tblHeader/>
        </w:trPr>
        <w:tc>
          <w:tcPr>
            <w:tcW w:type="pct" w:w="25%"/>
            <w:tcBorders>
              <w:top w:val="none"/>
              <w:left w:val="none"/>
              <w:bottom w:val="single" w:color="D4875A" w:sz="2"/>
              <w:right w:val="none"/>
            </w:tcBorders>
            <w:shd w:fill="D4875A" w:val="clear"/>
            <w:tcMar>
              <w:top w:type="dxa" w:w="60"/>
              <w:left w:type="dxa" w:w="120"/>
              <w:bottom w:type="dxa" w:w="60"/>
              <w:right w:type="dxa" w:w="120"/>
            </w:tcMar>
          </w:tcPr>
          <w:p>
            <w:r>
              <w:rPr>
                <w:rFonts w:ascii="Calibri"/>
                <w:b/>
                <w:bCs/>
                <w:color w:val="FFFFFF"/>
                <w:sz w:val="21"/>
                <w:szCs w:val="21"/>
              </w:rPr>
              <w:t xml:space="preserve">Segment</w:t>
            </w:r>
          </w:p>
        </w:tc>
        <w:tc>
          <w:tcPr>
            <w:tcW w:type="pct" w:w="25%"/>
            <w:tcBorders>
              <w:top w:val="none"/>
              <w:left w:val="none"/>
              <w:bottom w:val="single" w:color="D4875A" w:sz="2"/>
              <w:right w:val="none"/>
            </w:tcBorders>
            <w:shd w:fill="D4875A" w:val="clear"/>
            <w:tcMar>
              <w:top w:type="dxa" w:w="60"/>
              <w:left w:type="dxa" w:w="120"/>
              <w:bottom w:type="dxa" w:w="60"/>
              <w:right w:type="dxa" w:w="120"/>
            </w:tcMar>
          </w:tcPr>
          <w:p>
            <w:r>
              <w:rPr>
                <w:rFonts w:ascii="Calibri"/>
                <w:b/>
                <w:bCs/>
                <w:color w:val="FFFFFF"/>
                <w:sz w:val="21"/>
                <w:szCs w:val="21"/>
              </w:rPr>
              <w:t xml:space="preserve">Profile</w:t>
            </w:r>
          </w:p>
        </w:tc>
        <w:tc>
          <w:tcPr>
            <w:tcW w:type="pct" w:w="25%"/>
            <w:tcBorders>
              <w:top w:val="none"/>
              <w:left w:val="none"/>
              <w:bottom w:val="single" w:color="D4875A" w:sz="2"/>
              <w:right w:val="none"/>
            </w:tcBorders>
            <w:shd w:fill="D4875A" w:val="clear"/>
            <w:tcMar>
              <w:top w:type="dxa" w:w="60"/>
              <w:left w:type="dxa" w:w="120"/>
              <w:bottom w:type="dxa" w:w="60"/>
              <w:right w:type="dxa" w:w="120"/>
            </w:tcMar>
          </w:tcPr>
          <w:p>
            <w:r>
              <w:rPr>
                <w:rFonts w:ascii="Calibri"/>
                <w:b/>
                <w:bCs/>
                <w:color w:val="FFFFFF"/>
                <w:sz w:val="21"/>
                <w:szCs w:val="21"/>
              </w:rPr>
              <w:t xml:space="preserve">Key Pain Points</w:t>
            </w:r>
          </w:p>
        </w:tc>
        <w:tc>
          <w:tcPr>
            <w:tcW w:type="pct" w:w="25%"/>
            <w:tcBorders>
              <w:top w:val="none"/>
              <w:left w:val="none"/>
              <w:bottom w:val="single" w:color="D4875A" w:sz="2"/>
              <w:right w:val="none"/>
            </w:tcBorders>
            <w:shd w:fill="D4875A" w:val="clear"/>
            <w:tcMar>
              <w:top w:type="dxa" w:w="60"/>
              <w:left w:type="dxa" w:w="120"/>
              <w:bottom w:type="dxa" w:w="60"/>
              <w:right w:type="dxa" w:w="120"/>
            </w:tcMar>
          </w:tcPr>
          <w:p>
            <w:r>
              <w:rPr>
                <w:rFonts w:ascii="Calibri"/>
                <w:b/>
                <w:bCs/>
                <w:color w:val="FFFFFF"/>
                <w:sz w:val="21"/>
                <w:szCs w:val="21"/>
              </w:rPr>
              <w:t xml:space="preserve">Value Proposition</w:t>
            </w:r>
          </w:p>
        </w:tc>
      </w:tr>
      <w:tr>
        <w:trPr>
          <w:cantSplit/>
        </w:trPr>
        <w:tc>
          <w:tcPr>
            <w:tcW w:type="pct" w:w="25%"/>
            <w:tcBorders>
              <w:top w:val="none"/>
              <w:left w:val="none"/>
              <w:bottom w:val="single" w:color="DDD0C8" w:sz="1"/>
              <w:right w:val="none"/>
            </w:tcBorders>
            <w:shd w:fill="F8F0EB" w:val="clear"/>
            <w:tcMar>
              <w:top w:type="dxa" w:w="60"/>
              <w:left w:type="dxa" w:w="120"/>
              <w:bottom w:type="dxa" w:w="60"/>
              <w:right w:type="dxa" w:w="120"/>
            </w:tcMar>
          </w:tcPr>
          <w:p>
            <w:r>
              <w:rPr>
                <w:rFonts w:ascii="Calibri"/>
                <w:color w:val="000000"/>
                <w:sz w:val="21"/>
                <w:szCs w:val="21"/>
              </w:rPr>
              <w:t xml:space="preserve">AI Researchers</w:t>
            </w:r>
          </w:p>
        </w:tc>
        <w:tc>
          <w:tcPr>
            <w:tcW w:type="pct" w:w="25%"/>
            <w:tcBorders>
              <w:top w:val="none"/>
              <w:left w:val="none"/>
              <w:bottom w:val="single" w:color="DDD0C8" w:sz="1"/>
              <w:right w:val="none"/>
            </w:tcBorders>
            <w:shd w:fill="F8F0EB" w:val="clear"/>
            <w:tcMar>
              <w:top w:type="dxa" w:w="60"/>
              <w:left w:type="dxa" w:w="120"/>
              <w:bottom w:type="dxa" w:w="60"/>
              <w:right w:type="dxa" w:w="120"/>
            </w:tcMar>
          </w:tcPr>
          <w:p>
            <w:r>
              <w:rPr>
                <w:rFonts w:ascii="Calibri"/>
                <w:color w:val="000000"/>
                <w:sz w:val="21"/>
                <w:szCs w:val="21"/>
              </w:rPr>
              <w:t xml:space="preserve">Academics, lab scientists</w:t>
            </w:r>
          </w:p>
        </w:tc>
        <w:tc>
          <w:tcPr>
            <w:tcW w:type="pct" w:w="25%"/>
            <w:tcBorders>
              <w:top w:val="none"/>
              <w:left w:val="none"/>
              <w:bottom w:val="single" w:color="DDD0C8" w:sz="1"/>
              <w:right w:val="none"/>
            </w:tcBorders>
            <w:shd w:fill="F8F0EB" w:val="clear"/>
            <w:tcMar>
              <w:top w:type="dxa" w:w="60"/>
              <w:left w:type="dxa" w:w="120"/>
              <w:bottom w:type="dxa" w:w="60"/>
              <w:right w:type="dxa" w:w="120"/>
            </w:tcMar>
          </w:tcPr>
          <w:p>
            <w:r>
              <w:rPr>
                <w:rFonts w:ascii="Calibri"/>
                <w:color w:val="000000"/>
                <w:sz w:val="21"/>
                <w:szCs w:val="21"/>
              </w:rPr>
              <w:t xml:space="preserve">No centralized benchmark comparison</w:t>
            </w:r>
          </w:p>
        </w:tc>
        <w:tc>
          <w:tcPr>
            <w:tcW w:type="pct" w:w="25%"/>
            <w:tcBorders>
              <w:top w:val="none"/>
              <w:left w:val="none"/>
              <w:bottom w:val="single" w:color="DDD0C8" w:sz="1"/>
              <w:right w:val="none"/>
            </w:tcBorders>
            <w:shd w:fill="F8F0EB" w:val="clear"/>
            <w:tcMar>
              <w:top w:type="dxa" w:w="60"/>
              <w:left w:type="dxa" w:w="120"/>
              <w:bottom w:type="dxa" w:w="60"/>
              <w:right w:type="dxa" w:w="120"/>
            </w:tcMar>
          </w:tcPr>
          <w:p>
            <w:r>
              <w:rPr>
                <w:rFonts w:ascii="Calibri"/>
                <w:color w:val="000000"/>
                <w:sz w:val="21"/>
                <w:szCs w:val="21"/>
              </w:rPr>
              <w:t xml:space="preserve">6-benchmark leaderboard with live metrics</w:t>
            </w:r>
          </w:p>
        </w:tc>
      </w:tr>
      <w:tr>
        <w:trPr>
          <w:cantSplit/>
        </w:trPr>
        <w:tc>
          <w:tcPr>
            <w:tcW w:type="pct" w:w="25%"/>
            <w:tcBorders>
              <w:top w:val="none"/>
              <w:left w:val="none"/>
              <w:bottom w:val="single" w:color="DDD0C8" w:sz="1"/>
              <w:right w:val="none"/>
            </w:tcBorders>
            <w:shd w:fill="FFFFFF" w:val="clear"/>
            <w:tcMar>
              <w:top w:type="dxa" w:w="60"/>
              <w:left w:type="dxa" w:w="120"/>
              <w:bottom w:type="dxa" w:w="60"/>
              <w:right w:type="dxa" w:w="120"/>
            </w:tcMar>
          </w:tcPr>
          <w:p>
            <w:r>
              <w:rPr>
                <w:rFonts w:ascii="Calibri"/>
                <w:color w:val="000000"/>
                <w:sz w:val="21"/>
                <w:szCs w:val="21"/>
              </w:rPr>
              <w:t xml:space="preserve">Data Scientists</w:t>
            </w:r>
          </w:p>
        </w:tc>
        <w:tc>
          <w:tcPr>
            <w:tcW w:type="pct" w:w="25%"/>
            <w:tcBorders>
              <w:top w:val="none"/>
              <w:left w:val="none"/>
              <w:bottom w:val="single" w:color="DDD0C8" w:sz="1"/>
              <w:right w:val="none"/>
            </w:tcBorders>
            <w:shd w:fill="FFFFFF" w:val="clear"/>
            <w:tcMar>
              <w:top w:type="dxa" w:w="60"/>
              <w:left w:type="dxa" w:w="120"/>
              <w:bottom w:type="dxa" w:w="60"/>
              <w:right w:type="dxa" w:w="120"/>
            </w:tcMar>
          </w:tcPr>
          <w:p>
            <w:r>
              <w:rPr>
                <w:rFonts w:ascii="Calibri"/>
                <w:color w:val="000000"/>
                <w:sz w:val="21"/>
                <w:szCs w:val="21"/>
              </w:rPr>
              <w:t xml:space="preserve">ML engineers, analysts</w:t>
            </w:r>
          </w:p>
        </w:tc>
        <w:tc>
          <w:tcPr>
            <w:tcW w:type="pct" w:w="25%"/>
            <w:tcBorders>
              <w:top w:val="none"/>
              <w:left w:val="none"/>
              <w:bottom w:val="single" w:color="DDD0C8" w:sz="1"/>
              <w:right w:val="none"/>
            </w:tcBorders>
            <w:shd w:fill="FFFFFF" w:val="clear"/>
            <w:tcMar>
              <w:top w:type="dxa" w:w="60"/>
              <w:left w:type="dxa" w:w="120"/>
              <w:bottom w:type="dxa" w:w="60"/>
              <w:right w:type="dxa" w:w="120"/>
            </w:tcMar>
          </w:tcPr>
          <w:p>
            <w:r>
              <w:rPr>
                <w:rFonts w:ascii="Calibri"/>
                <w:color w:val="000000"/>
                <w:sz w:val="21"/>
                <w:szCs w:val="21"/>
              </w:rPr>
              <w:t xml:space="preserve">Manual evaluation, tool fragmentation</w:t>
            </w:r>
          </w:p>
        </w:tc>
        <w:tc>
          <w:tcPr>
            <w:tcW w:type="pct" w:w="25%"/>
            <w:tcBorders>
              <w:top w:val="none"/>
              <w:left w:val="none"/>
              <w:bottom w:val="single" w:color="DDD0C8" w:sz="1"/>
              <w:right w:val="none"/>
            </w:tcBorders>
            <w:shd w:fill="FFFFFF" w:val="clear"/>
            <w:tcMar>
              <w:top w:type="dxa" w:w="60"/>
              <w:left w:type="dxa" w:w="120"/>
              <w:bottom w:type="dxa" w:w="60"/>
              <w:right w:type="dxa" w:w="120"/>
            </w:tcMar>
          </w:tcPr>
          <w:p>
            <w:r>
              <w:rPr>
                <w:rFonts w:ascii="Calibri"/>
                <w:color w:val="000000"/>
                <w:sz w:val="21"/>
                <w:szCs w:val="21"/>
              </w:rPr>
              <w:t xml:space="preserve">50+ statistical tests in one workspace</w:t>
            </w:r>
          </w:p>
        </w:tc>
      </w:tr>
      <w:tr>
        <w:trPr>
          <w:cantSplit/>
        </w:trPr>
        <w:tc>
          <w:tcPr>
            <w:tcW w:type="pct" w:w="25%"/>
            <w:tcBorders>
              <w:top w:val="none"/>
              <w:left w:val="none"/>
              <w:bottom w:val="single" w:color="DDD0C8" w:sz="1"/>
              <w:right w:val="none"/>
            </w:tcBorders>
            <w:shd w:fill="F8F0EB" w:val="clear"/>
            <w:tcMar>
              <w:top w:type="dxa" w:w="60"/>
              <w:left w:type="dxa" w:w="120"/>
              <w:bottom w:type="dxa" w:w="60"/>
              <w:right w:type="dxa" w:w="120"/>
            </w:tcMar>
          </w:tcPr>
          <w:p>
            <w:r>
              <w:rPr>
                <w:rFonts w:ascii="Calibri"/>
                <w:color w:val="000000"/>
                <w:sz w:val="21"/>
                <w:szCs w:val="21"/>
              </w:rPr>
              <w:t xml:space="preserve">Enterprise Buyers</w:t>
            </w:r>
          </w:p>
        </w:tc>
        <w:tc>
          <w:tcPr>
            <w:tcW w:type="pct" w:w="25%"/>
            <w:tcBorders>
              <w:top w:val="none"/>
              <w:left w:val="none"/>
              <w:bottom w:val="single" w:color="DDD0C8" w:sz="1"/>
              <w:right w:val="none"/>
            </w:tcBorders>
            <w:shd w:fill="F8F0EB" w:val="clear"/>
            <w:tcMar>
              <w:top w:type="dxa" w:w="60"/>
              <w:left w:type="dxa" w:w="120"/>
              <w:bottom w:type="dxa" w:w="60"/>
              <w:right w:type="dxa" w:w="120"/>
            </w:tcMar>
          </w:tcPr>
          <w:p>
            <w:r>
              <w:rPr>
                <w:rFonts w:ascii="Calibri"/>
                <w:color w:val="000000"/>
                <w:sz w:val="21"/>
                <w:szCs w:val="21"/>
              </w:rPr>
              <w:t xml:space="preserve">CTOs, VP Engineering</w:t>
            </w:r>
          </w:p>
        </w:tc>
        <w:tc>
          <w:tcPr>
            <w:tcW w:type="pct" w:w="25%"/>
            <w:tcBorders>
              <w:top w:val="none"/>
              <w:left w:val="none"/>
              <w:bottom w:val="single" w:color="DDD0C8" w:sz="1"/>
              <w:right w:val="none"/>
            </w:tcBorders>
            <w:shd w:fill="F8F0EB" w:val="clear"/>
            <w:tcMar>
              <w:top w:type="dxa" w:w="60"/>
              <w:left w:type="dxa" w:w="120"/>
              <w:bottom w:type="dxa" w:w="60"/>
              <w:right w:type="dxa" w:w="120"/>
            </w:tcMar>
          </w:tcPr>
          <w:p>
            <w:r>
              <w:rPr>
                <w:rFonts w:ascii="Calibri"/>
                <w:color w:val="000000"/>
                <w:sz w:val="21"/>
                <w:szCs w:val="21"/>
              </w:rPr>
              <w:t xml:space="preserve">Vendor lock-in risk, no transparency</w:t>
            </w:r>
          </w:p>
        </w:tc>
        <w:tc>
          <w:tcPr>
            <w:tcW w:type="pct" w:w="25%"/>
            <w:tcBorders>
              <w:top w:val="none"/>
              <w:left w:val="none"/>
              <w:bottom w:val="single" w:color="DDD0C8" w:sz="1"/>
              <w:right w:val="none"/>
            </w:tcBorders>
            <w:shd w:fill="F8F0EB" w:val="clear"/>
            <w:tcMar>
              <w:top w:type="dxa" w:w="60"/>
              <w:left w:type="dxa" w:w="120"/>
              <w:bottom w:type="dxa" w:w="60"/>
              <w:right w:type="dxa" w:w="120"/>
            </w:tcMar>
          </w:tcPr>
          <w:p>
            <w:r>
              <w:rPr>
                <w:rFonts w:ascii="Calibri"/>
                <w:color w:val="000000"/>
                <w:sz w:val="21"/>
                <w:szCs w:val="21"/>
              </w:rPr>
              <w:t xml:space="preserve">Model comparison, governance, compliance</w:t>
            </w:r>
          </w:p>
        </w:tc>
      </w:tr>
      <w:tr>
        <w:trPr>
          <w:cantSplit/>
        </w:trPr>
        <w:tc>
          <w:tcPr>
            <w:tcW w:type="pct" w:w="25%"/>
            <w:tcBorders>
              <w:top w:val="none"/>
              <w:left w:val="none"/>
              <w:bottom w:val="single" w:color="DDD0C8" w:sz="1"/>
              <w:right w:val="none"/>
            </w:tcBorders>
            <w:shd w:fill="FFFFFF" w:val="clear"/>
            <w:tcMar>
              <w:top w:type="dxa" w:w="60"/>
              <w:left w:type="dxa" w:w="120"/>
              <w:bottom w:type="dxa" w:w="60"/>
              <w:right w:type="dxa" w:w="120"/>
            </w:tcMar>
          </w:tcPr>
          <w:p>
            <w:r>
              <w:rPr>
                <w:rFonts w:ascii="Calibri"/>
                <w:color w:val="000000"/>
                <w:sz w:val="21"/>
                <w:szCs w:val="21"/>
              </w:rPr>
              <w:t xml:space="preserve">Students &amp; Educators</w:t>
            </w:r>
          </w:p>
        </w:tc>
        <w:tc>
          <w:tcPr>
            <w:tcW w:type="pct" w:w="25%"/>
            <w:tcBorders>
              <w:top w:val="none"/>
              <w:left w:val="none"/>
              <w:bottom w:val="single" w:color="DDD0C8" w:sz="1"/>
              <w:right w:val="none"/>
            </w:tcBorders>
            <w:shd w:fill="FFFFFF" w:val="clear"/>
            <w:tcMar>
              <w:top w:type="dxa" w:w="60"/>
              <w:left w:type="dxa" w:w="120"/>
              <w:bottom w:type="dxa" w:w="60"/>
              <w:right w:type="dxa" w:w="120"/>
            </w:tcMar>
          </w:tcPr>
          <w:p>
            <w:r>
              <w:rPr>
                <w:rFonts w:ascii="Calibri"/>
                <w:color w:val="000000"/>
                <w:sz w:val="21"/>
                <w:szCs w:val="21"/>
              </w:rPr>
              <w:t xml:space="preserve">University, bootcamp learners</w:t>
            </w:r>
          </w:p>
        </w:tc>
        <w:tc>
          <w:tcPr>
            <w:tcW w:type="pct" w:w="25%"/>
            <w:tcBorders>
              <w:top w:val="none"/>
              <w:left w:val="none"/>
              <w:bottom w:val="single" w:color="DDD0C8" w:sz="1"/>
              <w:right w:val="none"/>
            </w:tcBorders>
            <w:shd w:fill="FFFFFF" w:val="clear"/>
            <w:tcMar>
              <w:top w:type="dxa" w:w="60"/>
              <w:left w:type="dxa" w:w="120"/>
              <w:bottom w:type="dxa" w:w="60"/>
              <w:right w:type="dxa" w:w="120"/>
            </w:tcMar>
          </w:tcPr>
          <w:p>
            <w:r>
              <w:rPr>
                <w:rFonts w:ascii="Calibri"/>
                <w:color w:val="000000"/>
                <w:sz w:val="21"/>
                <w:szCs w:val="21"/>
              </w:rPr>
              <w:t xml:space="preserve">Expensive tools, steep learning curve</w:t>
            </w:r>
          </w:p>
        </w:tc>
        <w:tc>
          <w:tcPr>
            <w:tcW w:type="pct" w:w="25%"/>
            <w:tcBorders>
              <w:top w:val="none"/>
              <w:left w:val="none"/>
              <w:bottom w:val="single" w:color="DDD0C8" w:sz="1"/>
              <w:right w:val="none"/>
            </w:tcBorders>
            <w:shd w:fill="FFFFFF" w:val="clear"/>
            <w:tcMar>
              <w:top w:type="dxa" w:w="60"/>
              <w:left w:type="dxa" w:w="120"/>
              <w:bottom w:type="dxa" w:w="60"/>
              <w:right w:type="dxa" w:w="120"/>
            </w:tcMar>
          </w:tcPr>
          <w:p>
            <w:r>
              <w:rPr>
                <w:rFonts w:ascii="Calibri"/>
                <w:color w:val="000000"/>
                <w:sz w:val="21"/>
                <w:szCs w:val="21"/>
              </w:rPr>
              <w:t xml:space="preserve">Free tier, tutorials, 7 AI assistants</w:t>
            </w:r>
          </w:p>
        </w:tc>
      </w:tr>
      <w:tr>
        <w:trPr>
          <w:cantSplit/>
        </w:trPr>
        <w:tc>
          <w:tcPr>
            <w:tcW w:type="pct" w:w="25%"/>
            <w:tcBorders>
              <w:top w:val="none"/>
              <w:left w:val="none"/>
              <w:bottom w:val="single" w:color="DDD0C8" w:sz="1"/>
              <w:right w:val="none"/>
            </w:tcBorders>
            <w:shd w:fill="F8F0EB" w:val="clear"/>
            <w:tcMar>
              <w:top w:type="dxa" w:w="60"/>
              <w:left w:type="dxa" w:w="120"/>
              <w:bottom w:type="dxa" w:w="60"/>
              <w:right w:type="dxa" w:w="120"/>
            </w:tcMar>
          </w:tcPr>
          <w:p>
            <w:r>
              <w:rPr>
                <w:rFonts w:ascii="Calibri"/>
                <w:color w:val="000000"/>
                <w:sz w:val="21"/>
                <w:szCs w:val="21"/>
              </w:rPr>
              <w:t xml:space="preserve">Developers</w:t>
            </w:r>
          </w:p>
        </w:tc>
        <w:tc>
          <w:tcPr>
            <w:tcW w:type="pct" w:w="25%"/>
            <w:tcBorders>
              <w:top w:val="none"/>
              <w:left w:val="none"/>
              <w:bottom w:val="single" w:color="DDD0C8" w:sz="1"/>
              <w:right w:val="none"/>
            </w:tcBorders>
            <w:shd w:fill="F8F0EB" w:val="clear"/>
            <w:tcMar>
              <w:top w:type="dxa" w:w="60"/>
              <w:left w:type="dxa" w:w="120"/>
              <w:bottom w:type="dxa" w:w="60"/>
              <w:right w:type="dxa" w:w="120"/>
            </w:tcMar>
          </w:tcPr>
          <w:p>
            <w:r>
              <w:rPr>
                <w:rFonts w:ascii="Calibri"/>
                <w:color w:val="000000"/>
                <w:sz w:val="21"/>
                <w:szCs w:val="21"/>
              </w:rPr>
              <w:t xml:space="preserve">Software engineers building AI</w:t>
            </w:r>
          </w:p>
        </w:tc>
        <w:tc>
          <w:tcPr>
            <w:tcW w:type="pct" w:w="25%"/>
            <w:tcBorders>
              <w:top w:val="none"/>
              <w:left w:val="none"/>
              <w:bottom w:val="single" w:color="DDD0C8" w:sz="1"/>
              <w:right w:val="none"/>
            </w:tcBorders>
            <w:shd w:fill="F8F0EB" w:val="clear"/>
            <w:tcMar>
              <w:top w:type="dxa" w:w="60"/>
              <w:left w:type="dxa" w:w="120"/>
              <w:bottom w:type="dxa" w:w="60"/>
              <w:right w:type="dxa" w:w="120"/>
            </w:tcMar>
          </w:tcPr>
          <w:p>
            <w:r>
              <w:rPr>
                <w:rFonts w:ascii="Calibri"/>
                <w:color w:val="000000"/>
                <w:sz w:val="21"/>
                <w:szCs w:val="21"/>
              </w:rPr>
              <w:t xml:space="preserve">Complex API integration, no benchmarks</w:t>
            </w:r>
          </w:p>
        </w:tc>
        <w:tc>
          <w:tcPr>
            <w:tcW w:type="pct" w:w="25%"/>
            <w:tcBorders>
              <w:top w:val="none"/>
              <w:left w:val="none"/>
              <w:bottom w:val="single" w:color="DDD0C8" w:sz="1"/>
              <w:right w:val="none"/>
            </w:tcBorders>
            <w:shd w:fill="F8F0EB" w:val="clear"/>
            <w:tcMar>
              <w:top w:type="dxa" w:w="60"/>
              <w:left w:type="dxa" w:w="120"/>
              <w:bottom w:type="dxa" w:w="60"/>
              <w:right w:type="dxa" w:w="120"/>
            </w:tcMar>
          </w:tcPr>
          <w:p>
            <w:r>
              <w:rPr>
                <w:rFonts w:ascii="Calibri"/>
                <w:color w:val="000000"/>
                <w:sz w:val="21"/>
                <w:szCs w:val="21"/>
              </w:rPr>
              <w:t xml:space="preserve">SDK, extensions, live latency testing</w:t>
            </w:r>
          </w:p>
        </w:tc>
      </w:tr>
    </w:tbl>
    <w:p>
      <w:pPr>
        <w:spacing w:after="60" w:before="60"/>
      </w:pPr>
    </w:p>
    <w:p>
      <w:pPr>
        <w:pStyle w:val="Heading2"/>
        <w:spacing w:after="120" w:before="280" w:line="312"/>
      </w:pPr>
      <w:bookmarkStart w:id="100004" w:name="_Toc100004"/>
      <w:r>
        <w:rPr>
          <w:rFonts w:ascii="Times New Roman"/>
          <w:b/>
          <w:bCs/>
          <w:color w:val="0B1220"/>
          <w:sz w:val="28"/>
          <w:szCs w:val="28"/>
        </w:rPr>
        <w:t xml:space="preserve">2.3 Competitive Positioning</w:t>
      </w:r>
      <w:bookmarkEnd w:id="100004"/>
    </w:p>
    <w:p>
      <w:pPr>
        <w:spacing w:after="120" w:line="312"/>
        <w:ind w:firstLine="480"/>
        <w:jc w:val="both"/>
      </w:pPr>
      <w:r>
        <w:rPr>
          <w:rFonts w:ascii="Times New Roman"/>
          <w:color w:val="000000"/>
          <w:sz w:val="24"/>
          <w:szCs w:val="24"/>
        </w:rPr>
        <w:t xml:space="preserve">The AI evaluation landscape is fragmented. Existing solutions tend to focus on a single dimension: benchmark leaderboards (like Hugging Face Open LLM Leaderboard), statistical tools (like SPSS or JMP), or workflow automation (like Zapier or n8n). TheOneWayGDA uniquely combines all three into a single platform. The competitive moat lies in the integration depth: users can compare a model on the leaderboard, immediately test it with their own data in the workspace, and then automate recurring evaluations through the workflow engine, all within one cohesive environment.</w:t>
      </w:r>
    </w:p>
    <w:p>
      <w:pPr>
        <w:spacing w:after="120" w:line="312"/>
        <w:ind w:firstLine="480"/>
        <w:jc w:val="both"/>
      </w:pPr>
      <w:r>
        <w:rPr>
          <w:rFonts w:ascii="Times New Roman"/>
          <w:color w:val="000000"/>
          <w:sz w:val="24"/>
          <w:szCs w:val="24"/>
        </w:rPr>
        <w:t xml:space="preserve">The primary competitive threats include Hugging Face's established community and open-source ecosystem, Anthropic and OpenAI's proprietary evaluation tools, and specialized statistical software from established vendors like IBM SPSS and SAS. However, none of these competitors offer the unified experience that TheOneWayGDA provides. The platform's positioning as the only end-to-end AI model evaluation and analytics platform creates a defensible niche that can be defended through continuous feature development and community building.</w:t>
      </w:r>
    </w:p>
    <w:p>
      <w:pPr>
        <w:pStyle w:val="Heading2"/>
        <w:spacing w:after="120" w:before="280" w:line="312"/>
      </w:pPr>
      <w:bookmarkStart w:id="100005" w:name="_Toc100005"/>
      <w:r>
        <w:rPr>
          <w:rFonts w:ascii="Times New Roman"/>
          <w:b/>
          <w:bCs/>
          <w:color w:val="0B1220"/>
          <w:sz w:val="28"/>
          <w:szCs w:val="28"/>
        </w:rPr>
        <w:t xml:space="preserve">2.4 Monetization Model</w:t>
      </w:r>
      <w:bookmarkEnd w:id="100005"/>
    </w:p>
    <w:p>
      <w:pPr>
        <w:keepNext/>
        <w:spacing w:after="80" w:before="200" w:line="312"/>
      </w:pPr>
      <w:r>
        <w:rPr>
          <w:rFonts w:ascii="Times New Roman"/>
          <w:b/>
          <w:bCs/>
          <w:color w:val="506070"/>
          <w:sz w:val="21"/>
          <w:szCs w:val="21"/>
        </w:rPr>
        <w:t xml:space="preserve">Table 2: Pricing Tiers</w:t>
      </w:r>
    </w:p>
    <w:tbl>
      <w:tblPr>
        <w:tblW w:type="pct" w:w="100%"/>
        <w:tblBorders>
          <w:top w:val="single" w:color="D4875A" w:sz="2"/>
          <w:left w:val="none"/>
          <w:bottom w:val="single" w:color="D4875A" w:sz="2"/>
          <w:right w:val="none"/>
          <w:insideH w:val="single" w:color="DDD0C8" w:sz="1"/>
          <w:insideV w:val="none"/>
        </w:tblBorders>
        <w:tblLayout w:type="fixed"/>
      </w:tblPr>
      <w:tblGrid>
        <w:gridCol w:w="100"/>
        <w:gridCol w:w="100"/>
        <w:gridCol w:w="100"/>
        <w:gridCol w:w="100"/>
      </w:tblGrid>
      <w:tr>
        <w:trPr>
          <w:cantSplit/>
          <w:tblHeader/>
        </w:trPr>
        <w:tc>
          <w:tcPr>
            <w:tcW w:type="pct" w:w="25%"/>
            <w:tcBorders>
              <w:top w:val="none"/>
              <w:left w:val="none"/>
              <w:bottom w:val="single" w:color="D4875A" w:sz="2"/>
              <w:right w:val="none"/>
            </w:tcBorders>
            <w:shd w:fill="D4875A" w:val="clear"/>
            <w:tcMar>
              <w:top w:type="dxa" w:w="60"/>
              <w:left w:type="dxa" w:w="120"/>
              <w:bottom w:type="dxa" w:w="60"/>
              <w:right w:type="dxa" w:w="120"/>
            </w:tcMar>
          </w:tcPr>
          <w:p>
            <w:r>
              <w:rPr>
                <w:rFonts w:ascii="Calibri"/>
                <w:b/>
                <w:bCs/>
                <w:color w:val="FFFFFF"/>
                <w:sz w:val="21"/>
                <w:szCs w:val="21"/>
              </w:rPr>
              <w:t xml:space="preserve">Tier</w:t>
            </w:r>
          </w:p>
        </w:tc>
        <w:tc>
          <w:tcPr>
            <w:tcW w:type="pct" w:w="25%"/>
            <w:tcBorders>
              <w:top w:val="none"/>
              <w:left w:val="none"/>
              <w:bottom w:val="single" w:color="D4875A" w:sz="2"/>
              <w:right w:val="none"/>
            </w:tcBorders>
            <w:shd w:fill="D4875A" w:val="clear"/>
            <w:tcMar>
              <w:top w:type="dxa" w:w="60"/>
              <w:left w:type="dxa" w:w="120"/>
              <w:bottom w:type="dxa" w:w="60"/>
              <w:right w:type="dxa" w:w="120"/>
            </w:tcMar>
          </w:tcPr>
          <w:p>
            <w:r>
              <w:rPr>
                <w:rFonts w:ascii="Calibri"/>
                <w:b/>
                <w:bCs/>
                <w:color w:val="FFFFFF"/>
                <w:sz w:val="21"/>
                <w:szCs w:val="21"/>
              </w:rPr>
              <w:t xml:space="preserve">Price</w:t>
            </w:r>
          </w:p>
        </w:tc>
        <w:tc>
          <w:tcPr>
            <w:tcW w:type="pct" w:w="25%"/>
            <w:tcBorders>
              <w:top w:val="none"/>
              <w:left w:val="none"/>
              <w:bottom w:val="single" w:color="D4875A" w:sz="2"/>
              <w:right w:val="none"/>
            </w:tcBorders>
            <w:shd w:fill="D4875A" w:val="clear"/>
            <w:tcMar>
              <w:top w:type="dxa" w:w="60"/>
              <w:left w:type="dxa" w:w="120"/>
              <w:bottom w:type="dxa" w:w="60"/>
              <w:right w:type="dxa" w:w="120"/>
            </w:tcMar>
          </w:tcPr>
          <w:p>
            <w:r>
              <w:rPr>
                <w:rFonts w:ascii="Calibri"/>
                <w:b/>
                <w:bCs/>
                <w:color w:val="FFFFFF"/>
                <w:sz w:val="21"/>
                <w:szCs w:val="21"/>
              </w:rPr>
              <w:t xml:space="preserve">API Calls/Day</w:t>
            </w:r>
          </w:p>
        </w:tc>
        <w:tc>
          <w:tcPr>
            <w:tcW w:type="pct" w:w="25%"/>
            <w:tcBorders>
              <w:top w:val="none"/>
              <w:left w:val="none"/>
              <w:bottom w:val="single" w:color="D4875A" w:sz="2"/>
              <w:right w:val="none"/>
            </w:tcBorders>
            <w:shd w:fill="D4875A" w:val="clear"/>
            <w:tcMar>
              <w:top w:type="dxa" w:w="60"/>
              <w:left w:type="dxa" w:w="120"/>
              <w:bottom w:type="dxa" w:w="60"/>
              <w:right w:type="dxa" w:w="120"/>
            </w:tcMar>
          </w:tcPr>
          <w:p>
            <w:r>
              <w:rPr>
                <w:rFonts w:ascii="Calibri"/>
                <w:b/>
                <w:bCs/>
                <w:color w:val="FFFFFF"/>
                <w:sz w:val="21"/>
                <w:szCs w:val="21"/>
              </w:rPr>
              <w:t xml:space="preserve">Key Features</w:t>
            </w:r>
          </w:p>
        </w:tc>
      </w:tr>
      <w:tr>
        <w:trPr>
          <w:cantSplit/>
        </w:trPr>
        <w:tc>
          <w:tcPr>
            <w:tcW w:type="pct" w:w="25%"/>
            <w:tcBorders>
              <w:top w:val="none"/>
              <w:left w:val="none"/>
              <w:bottom w:val="single" w:color="DDD0C8" w:sz="1"/>
              <w:right w:val="none"/>
            </w:tcBorders>
            <w:shd w:fill="F8F0EB" w:val="clear"/>
            <w:tcMar>
              <w:top w:type="dxa" w:w="60"/>
              <w:left w:type="dxa" w:w="120"/>
              <w:bottom w:type="dxa" w:w="60"/>
              <w:right w:type="dxa" w:w="120"/>
            </w:tcMar>
          </w:tcPr>
          <w:p>
            <w:r>
              <w:rPr>
                <w:rFonts w:ascii="Calibri"/>
                <w:color w:val="000000"/>
                <w:sz w:val="21"/>
                <w:szCs w:val="21"/>
              </w:rPr>
              <w:t xml:space="preserve">Free</w:t>
            </w:r>
          </w:p>
        </w:tc>
        <w:tc>
          <w:tcPr>
            <w:tcW w:type="pct" w:w="25%"/>
            <w:tcBorders>
              <w:top w:val="none"/>
              <w:left w:val="none"/>
              <w:bottom w:val="single" w:color="DDD0C8" w:sz="1"/>
              <w:right w:val="none"/>
            </w:tcBorders>
            <w:shd w:fill="F8F0EB" w:val="clear"/>
            <w:tcMar>
              <w:top w:type="dxa" w:w="60"/>
              <w:left w:type="dxa" w:w="120"/>
              <w:bottom w:type="dxa" w:w="60"/>
              <w:right w:type="dxa" w:w="120"/>
            </w:tcMar>
          </w:tcPr>
          <w:p>
            <w:r>
              <w:rPr>
                <w:rFonts w:ascii="Calibri"/>
                <w:color w:val="000000"/>
                <w:sz w:val="21"/>
                <w:szCs w:val="21"/>
              </w:rPr>
              <w:t xml:space="preserve">$0/month</w:t>
            </w:r>
          </w:p>
        </w:tc>
        <w:tc>
          <w:tcPr>
            <w:tcW w:type="pct" w:w="25%"/>
            <w:tcBorders>
              <w:top w:val="none"/>
              <w:left w:val="none"/>
              <w:bottom w:val="single" w:color="DDD0C8" w:sz="1"/>
              <w:right w:val="none"/>
            </w:tcBorders>
            <w:shd w:fill="F8F0EB" w:val="clear"/>
            <w:tcMar>
              <w:top w:type="dxa" w:w="60"/>
              <w:left w:type="dxa" w:w="120"/>
              <w:bottom w:type="dxa" w:w="60"/>
              <w:right w:type="dxa" w:w="120"/>
            </w:tcMar>
          </w:tcPr>
          <w:p>
            <w:r>
              <w:rPr>
                <w:rFonts w:ascii="Calibri"/>
                <w:color w:val="000000"/>
                <w:sz w:val="21"/>
                <w:szCs w:val="21"/>
              </w:rPr>
              <w:t xml:space="preserve">100</w:t>
            </w:r>
          </w:p>
        </w:tc>
        <w:tc>
          <w:tcPr>
            <w:tcW w:type="pct" w:w="25%"/>
            <w:tcBorders>
              <w:top w:val="none"/>
              <w:left w:val="none"/>
              <w:bottom w:val="single" w:color="DDD0C8" w:sz="1"/>
              <w:right w:val="none"/>
            </w:tcBorders>
            <w:shd w:fill="F8F0EB" w:val="clear"/>
            <w:tcMar>
              <w:top w:type="dxa" w:w="60"/>
              <w:left w:type="dxa" w:w="120"/>
              <w:bottom w:type="dxa" w:w="60"/>
              <w:right w:type="dxa" w:w="120"/>
            </w:tcMar>
          </w:tcPr>
          <w:p>
            <w:r>
              <w:rPr>
                <w:rFonts w:ascii="Calibri"/>
                <w:color w:val="000000"/>
                <w:sz w:val="21"/>
                <w:szCs w:val="21"/>
              </w:rPr>
              <w:t xml:space="preserve">Leaderboard, 5 workflows/mo, 3 members, 100MB storage</w:t>
            </w:r>
          </w:p>
        </w:tc>
      </w:tr>
      <w:tr>
        <w:trPr>
          <w:cantSplit/>
        </w:trPr>
        <w:tc>
          <w:tcPr>
            <w:tcW w:type="pct" w:w="25%"/>
            <w:tcBorders>
              <w:top w:val="none"/>
              <w:left w:val="none"/>
              <w:bottom w:val="single" w:color="DDD0C8" w:sz="1"/>
              <w:right w:val="none"/>
            </w:tcBorders>
            <w:shd w:fill="FFFFFF" w:val="clear"/>
            <w:tcMar>
              <w:top w:type="dxa" w:w="60"/>
              <w:left w:type="dxa" w:w="120"/>
              <w:bottom w:type="dxa" w:w="60"/>
              <w:right w:type="dxa" w:w="120"/>
            </w:tcMar>
          </w:tcPr>
          <w:p>
            <w:r>
              <w:rPr>
                <w:rFonts w:ascii="Calibri"/>
                <w:color w:val="000000"/>
                <w:sz w:val="21"/>
                <w:szCs w:val="21"/>
              </w:rPr>
              <w:t xml:space="preserve">Pro</w:t>
            </w:r>
          </w:p>
        </w:tc>
        <w:tc>
          <w:tcPr>
            <w:tcW w:type="pct" w:w="25%"/>
            <w:tcBorders>
              <w:top w:val="none"/>
              <w:left w:val="none"/>
              <w:bottom w:val="single" w:color="DDD0C8" w:sz="1"/>
              <w:right w:val="none"/>
            </w:tcBorders>
            <w:shd w:fill="FFFFFF" w:val="clear"/>
            <w:tcMar>
              <w:top w:type="dxa" w:w="60"/>
              <w:left w:type="dxa" w:w="120"/>
              <w:bottom w:type="dxa" w:w="60"/>
              <w:right w:type="dxa" w:w="120"/>
            </w:tcMar>
          </w:tcPr>
          <w:p>
            <w:r>
              <w:rPr>
                <w:rFonts w:ascii="Calibri"/>
                <w:color w:val="000000"/>
                <w:sz w:val="21"/>
                <w:szCs w:val="21"/>
              </w:rPr>
              <w:t xml:space="preserve">$29/month</w:t>
            </w:r>
          </w:p>
        </w:tc>
        <w:tc>
          <w:tcPr>
            <w:tcW w:type="pct" w:w="25%"/>
            <w:tcBorders>
              <w:top w:val="none"/>
              <w:left w:val="none"/>
              <w:bottom w:val="single" w:color="DDD0C8" w:sz="1"/>
              <w:right w:val="none"/>
            </w:tcBorders>
            <w:shd w:fill="FFFFFF" w:val="clear"/>
            <w:tcMar>
              <w:top w:type="dxa" w:w="60"/>
              <w:left w:type="dxa" w:w="120"/>
              <w:bottom w:type="dxa" w:w="60"/>
              <w:right w:type="dxa" w:w="120"/>
            </w:tcMar>
          </w:tcPr>
          <w:p>
            <w:r>
              <w:rPr>
                <w:rFonts w:ascii="Calibri"/>
                <w:color w:val="000000"/>
                <w:sz w:val="21"/>
                <w:szCs w:val="21"/>
              </w:rPr>
              <w:t xml:space="preserve">1,000</w:t>
            </w:r>
          </w:p>
        </w:tc>
        <w:tc>
          <w:tcPr>
            <w:tcW w:type="pct" w:w="25%"/>
            <w:tcBorders>
              <w:top w:val="none"/>
              <w:left w:val="none"/>
              <w:bottom w:val="single" w:color="DDD0C8" w:sz="1"/>
              <w:right w:val="none"/>
            </w:tcBorders>
            <w:shd w:fill="FFFFFF" w:val="clear"/>
            <w:tcMar>
              <w:top w:type="dxa" w:w="60"/>
              <w:left w:type="dxa" w:w="120"/>
              <w:bottom w:type="dxa" w:w="60"/>
              <w:right w:type="dxa" w:w="120"/>
            </w:tcMar>
          </w:tcPr>
          <w:p>
            <w:r>
              <w:rPr>
                <w:rFonts w:ascii="Calibri"/>
                <w:color w:val="000000"/>
                <w:sz w:val="21"/>
                <w:szCs w:val="21"/>
              </w:rPr>
              <w:t xml:space="preserve">Unlimited workflows, AI Copilot, 25 members, 10GB storage</w:t>
            </w:r>
          </w:p>
        </w:tc>
      </w:tr>
      <w:tr>
        <w:trPr>
          <w:cantSplit/>
        </w:trPr>
        <w:tc>
          <w:tcPr>
            <w:tcW w:type="pct" w:w="25%"/>
            <w:tcBorders>
              <w:top w:val="none"/>
              <w:left w:val="none"/>
              <w:bottom w:val="single" w:color="DDD0C8" w:sz="1"/>
              <w:right w:val="none"/>
            </w:tcBorders>
            <w:shd w:fill="F8F0EB" w:val="clear"/>
            <w:tcMar>
              <w:top w:type="dxa" w:w="60"/>
              <w:left w:type="dxa" w:w="120"/>
              <w:bottom w:type="dxa" w:w="60"/>
              <w:right w:type="dxa" w:w="120"/>
            </w:tcMar>
          </w:tcPr>
          <w:p>
            <w:r>
              <w:rPr>
                <w:rFonts w:ascii="Calibri"/>
                <w:color w:val="000000"/>
                <w:sz w:val="21"/>
                <w:szCs w:val="21"/>
              </w:rPr>
              <w:t xml:space="preserve">Enterprise</w:t>
            </w:r>
          </w:p>
        </w:tc>
        <w:tc>
          <w:tcPr>
            <w:tcW w:type="pct" w:w="25%"/>
            <w:tcBorders>
              <w:top w:val="none"/>
              <w:left w:val="none"/>
              <w:bottom w:val="single" w:color="DDD0C8" w:sz="1"/>
              <w:right w:val="none"/>
            </w:tcBorders>
            <w:shd w:fill="F8F0EB" w:val="clear"/>
            <w:tcMar>
              <w:top w:type="dxa" w:w="60"/>
              <w:left w:type="dxa" w:w="120"/>
              <w:bottom w:type="dxa" w:w="60"/>
              <w:right w:type="dxa" w:w="120"/>
            </w:tcMar>
          </w:tcPr>
          <w:p>
            <w:r>
              <w:rPr>
                <w:rFonts w:ascii="Calibri"/>
                <w:color w:val="000000"/>
                <w:sz w:val="21"/>
                <w:szCs w:val="21"/>
              </w:rPr>
              <w:t xml:space="preserve">$99/month</w:t>
            </w:r>
          </w:p>
        </w:tc>
        <w:tc>
          <w:tcPr>
            <w:tcW w:type="pct" w:w="25%"/>
            <w:tcBorders>
              <w:top w:val="none"/>
              <w:left w:val="none"/>
              <w:bottom w:val="single" w:color="DDD0C8" w:sz="1"/>
              <w:right w:val="none"/>
            </w:tcBorders>
            <w:shd w:fill="F8F0EB" w:val="clear"/>
            <w:tcMar>
              <w:top w:type="dxa" w:w="60"/>
              <w:left w:type="dxa" w:w="120"/>
              <w:bottom w:type="dxa" w:w="60"/>
              <w:right w:type="dxa" w:w="120"/>
            </w:tcMar>
          </w:tcPr>
          <w:p>
            <w:r>
              <w:rPr>
                <w:rFonts w:ascii="Calibri"/>
                <w:color w:val="000000"/>
                <w:sz w:val="21"/>
                <w:szCs w:val="21"/>
              </w:rPr>
              <w:t xml:space="preserve">Unlimited</w:t>
            </w:r>
          </w:p>
        </w:tc>
        <w:tc>
          <w:tcPr>
            <w:tcW w:type="pct" w:w="25%"/>
            <w:tcBorders>
              <w:top w:val="none"/>
              <w:left w:val="none"/>
              <w:bottom w:val="single" w:color="DDD0C8" w:sz="1"/>
              <w:right w:val="none"/>
            </w:tcBorders>
            <w:shd w:fill="F8F0EB" w:val="clear"/>
            <w:tcMar>
              <w:top w:type="dxa" w:w="60"/>
              <w:left w:type="dxa" w:w="120"/>
              <w:bottom w:type="dxa" w:w="60"/>
              <w:right w:type="dxa" w:w="120"/>
            </w:tcMar>
          </w:tcPr>
          <w:p>
            <w:r>
              <w:rPr>
                <w:rFonts w:ascii="Calibri"/>
                <w:color w:val="000000"/>
                <w:sz w:val="21"/>
                <w:szCs w:val="21"/>
              </w:rPr>
              <w:t xml:space="preserve">SSO/SAML, SLA 99.9%, 100GB, dedicated support</w:t>
            </w:r>
          </w:p>
        </w:tc>
      </w:tr>
    </w:tbl>
    <w:p>
      <w:pPr>
        <w:spacing w:after="60" w:before="60"/>
      </w:pPr>
    </w:p>
    <w:p>
      <w:pPr>
        <w:pStyle w:val="Heading1"/>
        <w:spacing w:after="160" w:before="360" w:line="312"/>
      </w:pPr>
      <w:bookmarkStart w:id="100006" w:name="_Toc100006"/>
      <w:r>
        <w:rPr>
          <w:rFonts w:ascii="Times New Roman"/>
          <w:b/>
          <w:bCs/>
          <w:color w:val="0B1220"/>
          <w:sz w:val="32"/>
          <w:szCs w:val="32"/>
        </w:rPr>
        <w:t xml:space="preserve">3. Acquisition Strategy: The Six Pillars</w:t>
      </w:r>
      <w:bookmarkEnd w:id="100006"/>
    </w:p>
    <w:p>
      <w:pPr>
        <w:spacing w:after="120" w:line="312"/>
        <w:ind w:firstLine="480"/>
        <w:jc w:val="both"/>
      </w:pPr>
      <w:r>
        <w:rPr>
          <w:rFonts w:ascii="Times New Roman"/>
          <w:color w:val="000000"/>
          <w:sz w:val="24"/>
          <w:szCs w:val="24"/>
        </w:rPr>
        <w:t xml:space="preserve">The acquisition strategy is built on six interconnected pillars, each designed to reach different segments of the target audience at different stages of the buyer journey. These pillars are not independent channels but rather an integrated system where each reinforces the others. SEO builds the organic foundation, paid advertising provides immediate reach and testing data, content marketing establishes thought leadership and feeds SEO, email marketing nurtures leads through the funnel, marketing automation scales operations, and ABM targets the highest-value enterprise accounts.</w:t>
      </w:r>
    </w:p>
    <w:p>
      <w:pPr>
        <w:pStyle w:val="Heading2"/>
        <w:spacing w:after="120" w:before="280" w:line="312"/>
      </w:pPr>
      <w:bookmarkStart w:id="100007" w:name="_Toc100007"/>
      <w:r>
        <w:rPr>
          <w:rFonts w:ascii="Times New Roman"/>
          <w:b/>
          <w:bCs/>
          <w:color w:val="0B1220"/>
          <w:sz w:val="28"/>
          <w:szCs w:val="28"/>
        </w:rPr>
        <w:t xml:space="preserve">3.1 Search Engine Optimization (SEO)</w:t>
      </w:r>
      <w:bookmarkEnd w:id="100007"/>
    </w:p>
    <w:p>
      <w:pPr>
        <w:pStyle w:val="Heading3"/>
        <w:spacing w:after="100" w:before="200" w:line="312"/>
      </w:pPr>
      <w:bookmarkStart w:id="100008" w:name="_Toc100008"/>
      <w:r>
        <w:rPr>
          <w:rFonts w:ascii="Times New Roman"/>
          <w:b/>
          <w:bCs/>
          <w:color w:val="0B1220"/>
          <w:sz w:val="24"/>
          <w:szCs w:val="24"/>
        </w:rPr>
        <w:t xml:space="preserve">3.1.1 Technical SEO Foundation</w:t>
      </w:r>
      <w:bookmarkEnd w:id="100008"/>
    </w:p>
    <w:p>
      <w:pPr>
        <w:spacing w:after="120" w:line="312"/>
        <w:ind w:firstLine="480"/>
        <w:jc w:val="both"/>
      </w:pPr>
      <w:r>
        <w:rPr>
          <w:rFonts w:ascii="Times New Roman"/>
          <w:color w:val="000000"/>
          <w:sz w:val="24"/>
          <w:szCs w:val="24"/>
        </w:rPr>
        <w:t xml:space="preserve">The platform already has a strong technical SEO foundation with 127 statically generated pages, JSON-LD structured data (Organization, WebSite, SoftwareApplication, FAQPage, and WebPage schemas), optimized metadata with OpenGraph and Twitter cards, a comprehensive sitemap.xml with 24 static and up to 50 dynamic pages, and a robots.txt that allows major search engines while blocking AI scrapers. The next step is to perform a comprehensive technical SEO audit using tools like Google Search Console, Screaming Frog, and Lighthouse to identify and fix any remaining issues.</w:t>
      </w:r>
    </w:p>
    <w:p>
      <w:pPr>
        <w:spacing w:after="120" w:line="312"/>
        <w:ind w:firstLine="480"/>
        <w:jc w:val="both"/>
      </w:pPr>
      <w:r>
        <w:rPr>
          <w:rFonts w:ascii="Times New Roman"/>
          <w:color w:val="000000"/>
          <w:sz w:val="24"/>
          <w:szCs w:val="24"/>
        </w:rPr>
        <w:t xml:space="preserve">Key technical priorities include ensuring Core Web Vitals scores are consistently in the green zone (LCP under 2.5s, FID under 100ms, CLS under 0.1), implementing canonical tags on all pages to prevent duplicate content, adding breadcrumb structured data for enhanced SERP snippets, and creating an XML sitemap specifically for the dynamic community posts that updates automatically. Additionally, the platform should implement hreflang tags if international expansion is planned, and ensure all images have descriptive alt text for image search optimization.</w:t>
      </w:r>
    </w:p>
    <w:p>
      <w:pPr>
        <w:pStyle w:val="Heading3"/>
        <w:spacing w:after="100" w:before="200" w:line="312"/>
      </w:pPr>
      <w:bookmarkStart w:id="100009" w:name="_Toc100009"/>
      <w:r>
        <w:rPr>
          <w:rFonts w:ascii="Times New Roman"/>
          <w:b/>
          <w:bCs/>
          <w:color w:val="0B1220"/>
          <w:sz w:val="24"/>
          <w:szCs w:val="24"/>
        </w:rPr>
        <w:t xml:space="preserve">3.1.2 Content SEO Strategy</w:t>
      </w:r>
      <w:bookmarkEnd w:id="100009"/>
    </w:p>
    <w:p>
      <w:pPr>
        <w:spacing w:after="120" w:line="312"/>
        <w:ind w:firstLine="480"/>
        <w:jc w:val="both"/>
      </w:pPr>
      <w:r>
        <w:rPr>
          <w:rFonts w:ascii="Times New Roman"/>
          <w:color w:val="000000"/>
          <w:sz w:val="24"/>
          <w:szCs w:val="24"/>
        </w:rPr>
        <w:t xml:space="preserve">Content SEO will target three tiers of keywords. The first tier consists of high-volume, high-intent head terms such as 'AI model comparison,' 'LLM benchmark,' 'GPT-4o vs Claude 4,' and 'best AI model 2025.' These keywords directly match the platform's core offering and should drive the majority of organic traffic. The second tier includes mid-tail keywords like 'AI model pricing comparison,' 'GPQA Diamond benchmark results,' and 'statistical analysis AI tools' that capture users further along in their research process. The third tier targets long-tail, question-based queries such as 'which AI model is best for code generation' or 'how to compare LLM performance metrics' that align with the FAQ structured data already implemented.</w:t>
      </w:r>
    </w:p>
    <w:p>
      <w:pPr>
        <w:spacing w:after="120" w:line="312"/>
        <w:ind w:firstLine="480"/>
        <w:jc w:val="both"/>
      </w:pPr>
      <w:r>
        <w:rPr>
          <w:rFonts w:ascii="Times New Roman"/>
          <w:color w:val="000000"/>
          <w:sz w:val="24"/>
          <w:szCs w:val="24"/>
        </w:rPr>
        <w:t xml:space="preserve">Each month, the content team should produce a minimum of 8 SEO-optimized articles targeting specific keyword clusters. These articles should follow a hub-and-spoke model, where comprehensive pillar pages cover broad topics (like 'Complete Guide to AI Model Evaluation') and supporting articles target specific subtopics (like 'Understanding GPQA Diamond Scores' or 'How MMLU-Pro Tests Multi-Task Understanding'). All content should include internal links to relevant platform features, external links to authoritative sources, and clear calls-to-action driving readers toward the leaderboard, workspace, or free trial registration.</w:t>
      </w:r>
    </w:p>
    <w:p>
      <w:pPr>
        <w:pStyle w:val="Heading3"/>
        <w:spacing w:after="100" w:before="200" w:line="312"/>
      </w:pPr>
      <w:bookmarkStart w:id="100010" w:name="_Toc100010"/>
      <w:r>
        <w:rPr>
          <w:rFonts w:ascii="Times New Roman"/>
          <w:b/>
          <w:bCs/>
          <w:color w:val="0B1220"/>
          <w:sz w:val="24"/>
          <w:szCs w:val="24"/>
        </w:rPr>
        <w:t xml:space="preserve">3.1.3 Link Building &amp; Domain Authority</w:t>
      </w:r>
      <w:bookmarkEnd w:id="100010"/>
    </w:p>
    <w:p>
      <w:pPr>
        <w:spacing w:after="120" w:line="312"/>
        <w:ind w:firstLine="480"/>
        <w:jc w:val="both"/>
      </w:pPr>
      <w:r>
        <w:rPr>
          <w:rFonts w:ascii="Times New Roman"/>
          <w:color w:val="000000"/>
          <w:sz w:val="24"/>
          <w:szCs w:val="24"/>
        </w:rPr>
        <w:t xml:space="preserve">Building domain authority is critical for competing with established platforms like Hugging Face. The strategy should focus on four link-building tactics. First, digital PR through original research publications using the platform's benchmark data, publishing quarterly 'State of AI Models' reports that attract natural backlinks from tech publications and academic citations. Second, guest posting on high-authority publications in the AI and data science space, including Towards Data Science, KDnuggets, and AI News, with each article linking back to relevant platform pages. Third, strategic partnerships with universities and research institutions, offering free Enterprise access in exchange for citations and co-authored papers. Fourth, community-driven link building through the community portal, encouraging users to share their analyses and benchmark comparisons on social media and personal blogs.</w:t>
      </w:r>
    </w:p>
    <w:p>
      <w:pPr>
        <w:pStyle w:val="Heading2"/>
        <w:spacing w:after="120" w:before="280" w:line="312"/>
      </w:pPr>
      <w:bookmarkStart w:id="100011" w:name="_Toc100011"/>
      <w:r>
        <w:rPr>
          <w:rFonts w:ascii="Times New Roman"/>
          <w:b/>
          <w:bCs/>
          <w:color w:val="0B1220"/>
          <w:sz w:val="28"/>
          <w:szCs w:val="28"/>
        </w:rPr>
        <w:t xml:space="preserve">3.2 Paid Advertising</w:t>
      </w:r>
      <w:bookmarkEnd w:id="100011"/>
    </w:p>
    <w:p>
      <w:pPr>
        <w:pStyle w:val="Heading3"/>
        <w:spacing w:after="100" w:before="200" w:line="312"/>
      </w:pPr>
      <w:bookmarkStart w:id="100012" w:name="_Toc100012"/>
      <w:r>
        <w:rPr>
          <w:rFonts w:ascii="Times New Roman"/>
          <w:b/>
          <w:bCs/>
          <w:color w:val="0B1220"/>
          <w:sz w:val="24"/>
          <w:szCs w:val="24"/>
        </w:rPr>
        <w:t xml:space="preserve">3.2.1 Google Ads Strategy</w:t>
      </w:r>
      <w:bookmarkEnd w:id="100012"/>
    </w:p>
    <w:p>
      <w:pPr>
        <w:spacing w:after="120" w:line="312"/>
        <w:ind w:firstLine="480"/>
        <w:jc w:val="both"/>
      </w:pPr>
      <w:r>
        <w:rPr>
          <w:rFonts w:ascii="Times New Roman"/>
          <w:color w:val="000000"/>
          <w:sz w:val="24"/>
          <w:szCs w:val="24"/>
        </w:rPr>
        <w:t xml:space="preserve">Google Ads will serve as the primary paid acquisition channel, targeting high-intent search queries where users are actively looking for AI model comparison or evaluation tools. The campaign structure should follow a tiered approach. Tier 1 campaigns target exact-match and phrase-match keywords with high commercial intent, such as 'AI model comparison tool,' 'compare GPT-4 Claude Gemini,' and 'LLM benchmark platform.' These campaigns should use responsive search ads with strong ad extensions (sitelinks to leaderboard, workspace, and pricing pages; callout extensions highlighting key features like '19+ AI Models Compared' and '6 Standardized Benchmarks'; structured snippets for benchmark types).</w:t>
      </w:r>
    </w:p>
    <w:p>
      <w:pPr>
        <w:spacing w:after="120" w:line="312"/>
        <w:ind w:firstLine="480"/>
        <w:jc w:val="both"/>
      </w:pPr>
      <w:r>
        <w:rPr>
          <w:rFonts w:ascii="Times New Roman"/>
          <w:color w:val="000000"/>
          <w:sz w:val="24"/>
          <w:szCs w:val="24"/>
        </w:rPr>
        <w:t xml:space="preserve">Tier 2 campaigns target informational queries with moderate intent using performance max campaigns, focusing on audiences interested in AI, machine learning, and data science. Tier 3 campaigns employ retargeting through display ads and YouTube pre-roll, targeting users who have visited the platform but not registered or activated their account. Each campaign should have dedicated landing pages optimized for conversion, with A/B testing on headlines, value propositions, and CTA placement. Initial budget allocation should be $3,000-$5,000 per month with a target CPA of under $50 for free registrations and under $200 for Pro conversions.</w:t>
      </w:r>
    </w:p>
    <w:p>
      <w:pPr>
        <w:pStyle w:val="Heading3"/>
        <w:spacing w:after="100" w:before="200" w:line="312"/>
      </w:pPr>
      <w:bookmarkStart w:id="100013" w:name="_Toc100013"/>
      <w:r>
        <w:rPr>
          <w:rFonts w:ascii="Times New Roman"/>
          <w:b/>
          <w:bCs/>
          <w:color w:val="0B1220"/>
          <w:sz w:val="24"/>
          <w:szCs w:val="24"/>
        </w:rPr>
        <w:t xml:space="preserve">3.2.2 LinkedIn Ads</w:t>
      </w:r>
      <w:bookmarkEnd w:id="100013"/>
    </w:p>
    <w:p>
      <w:pPr>
        <w:spacing w:after="120" w:line="312"/>
        <w:ind w:firstLine="480"/>
        <w:jc w:val="both"/>
      </w:pPr>
      <w:r>
        <w:rPr>
          <w:rFonts w:ascii="Times New Roman"/>
          <w:color w:val="000000"/>
          <w:sz w:val="24"/>
          <w:szCs w:val="24"/>
        </w:rPr>
        <w:t xml:space="preserve">LinkedIn Ads will target enterprise decision-makers who are more likely to convert to Enterprise tier subscriptions ($99/month). Campaign targeting should focus on job titles like CTO, VP of Engineering, Head of AI/ML, Chief Data Officer, and Director of Data Science at companies with 50+ employees in technology, finance, healthcare, and consulting industries. Ad formats should include sponsored content promoting benchmark reports and case studies, message ads for personalized outreach to high-value prospects, and lead gen forms offering gated content like 'The 2025 AI Model Evaluation Guide' in exchange for contact information.</w:t>
      </w:r>
    </w:p>
    <w:p>
      <w:pPr>
        <w:spacing w:after="120" w:line="312"/>
        <w:ind w:firstLine="480"/>
        <w:jc w:val="both"/>
      </w:pPr>
      <w:r>
        <w:rPr>
          <w:rFonts w:ascii="Times New Roman"/>
          <w:color w:val="000000"/>
          <w:sz w:val="24"/>
          <w:szCs w:val="24"/>
        </w:rPr>
        <w:t xml:space="preserve">The LinkedIn strategy should also include company-page optimization and employee advocacy programs where team members share platform updates and content with their professional networks. LinkedIn's Matched Audiences feature should be leveraged to retarget website visitors and upload target account lists from the ABM program. Budget allocation for LinkedIn should start at $2,000-$3,000 per month, with higher CPLs expected ($80-$150) but significantly higher LTV from enterprise conversions.</w:t>
      </w:r>
    </w:p>
    <w:p>
      <w:pPr>
        <w:pStyle w:val="Heading3"/>
        <w:spacing w:after="100" w:before="200" w:line="312"/>
      </w:pPr>
      <w:bookmarkStart w:id="100014" w:name="_Toc100014"/>
      <w:r>
        <w:rPr>
          <w:rFonts w:ascii="Times New Roman"/>
          <w:b/>
          <w:bCs/>
          <w:color w:val="0B1220"/>
          <w:sz w:val="24"/>
          <w:szCs w:val="24"/>
        </w:rPr>
        <w:t xml:space="preserve">3.2.3 Social &amp; Community Advertising</w:t>
      </w:r>
      <w:bookmarkEnd w:id="100014"/>
    </w:p>
    <w:p>
      <w:pPr>
        <w:spacing w:after="120" w:line="312"/>
        <w:ind w:firstLine="480"/>
        <w:jc w:val="both"/>
      </w:pPr>
      <w:r>
        <w:rPr>
          <w:rFonts w:ascii="Times New Roman"/>
          <w:color w:val="000000"/>
          <w:sz w:val="24"/>
          <w:szCs w:val="24"/>
        </w:rPr>
        <w:t xml:space="preserve">Beyond Google and LinkedIn, targeted campaigns on Reddit (r/MachineLearning, r/artificial, r/datascience), Twitter/X (targeting AI influencers and hashtags like #LLM #AIBenchmark #MachineLearning), and YouTube (pre-roll ads before AI and data science educational content) will help build brand awareness and drive traffic from niche communities. Reddit advertising in particular can be effective for reaching highly technical audiences who are skeptical of traditional marketing but receptive to data-driven value propositions. Each platform requires a tailored creative approach: Reddit prefers authentic, text-heavy posts with genuine value, while Twitter/X performs best with concise thread-style content and engaging visual assets.</w:t>
      </w:r>
    </w:p>
    <w:p>
      <w:pPr>
        <w:pStyle w:val="Heading2"/>
        <w:spacing w:after="120" w:before="280" w:line="312"/>
      </w:pPr>
      <w:bookmarkStart w:id="100015" w:name="_Toc100015"/>
      <w:r>
        <w:rPr>
          <w:rFonts w:ascii="Times New Roman"/>
          <w:b/>
          <w:bCs/>
          <w:color w:val="0B1220"/>
          <w:sz w:val="28"/>
          <w:szCs w:val="28"/>
        </w:rPr>
        <w:t xml:space="preserve">3.3 Content Marketing</w:t>
      </w:r>
      <w:bookmarkEnd w:id="100015"/>
    </w:p>
    <w:p>
      <w:pPr>
        <w:pStyle w:val="Heading3"/>
        <w:spacing w:after="100" w:before="200" w:line="312"/>
      </w:pPr>
      <w:bookmarkStart w:id="100016" w:name="_Toc100016"/>
      <w:r>
        <w:rPr>
          <w:rFonts w:ascii="Times New Roman"/>
          <w:b/>
          <w:bCs/>
          <w:color w:val="0B1220"/>
          <w:sz w:val="24"/>
          <w:szCs w:val="24"/>
        </w:rPr>
        <w:t xml:space="preserve">3.3.1 Content Strategy &amp; Calendar</w:t>
      </w:r>
      <w:bookmarkEnd w:id="100016"/>
    </w:p>
    <w:p>
      <w:pPr>
        <w:spacing w:after="120" w:line="312"/>
        <w:ind w:firstLine="480"/>
        <w:jc w:val="both"/>
      </w:pPr>
      <w:r>
        <w:rPr>
          <w:rFonts w:ascii="Times New Roman"/>
          <w:color w:val="000000"/>
          <w:sz w:val="24"/>
          <w:szCs w:val="24"/>
        </w:rPr>
        <w:t xml:space="preserve">Content marketing will serve as the connective tissue between all other acquisition channels, providing the fuel for SEO, the assets for email campaigns, the credibility for ABM outreach, and the value proposition for social media engagement. The content strategy follows a 'publish, distribute, repurpose' methodology where each core content piece is created once and then adapted across multiple formats and channels to maximize reach and ROI.</w:t>
      </w:r>
    </w:p>
    <w:p>
      <w:pPr>
        <w:keepNext/>
        <w:spacing w:after="80" w:before="200" w:line="312"/>
      </w:pPr>
      <w:r>
        <w:rPr>
          <w:rFonts w:ascii="Times New Roman"/>
          <w:b/>
          <w:bCs/>
          <w:color w:val="506070"/>
          <w:sz w:val="21"/>
          <w:szCs w:val="21"/>
        </w:rPr>
        <w:t xml:space="preserve">Table 3: Content Calendar Overview</w:t>
      </w:r>
    </w:p>
    <w:tbl>
      <w:tblPr>
        <w:tblW w:type="pct" w:w="100%"/>
        <w:tblBorders>
          <w:top w:val="single" w:color="D4875A" w:sz="2"/>
          <w:left w:val="none"/>
          <w:bottom w:val="single" w:color="D4875A" w:sz="2"/>
          <w:right w:val="none"/>
          <w:insideH w:val="single" w:color="DDD0C8" w:sz="1"/>
          <w:insideV w:val="none"/>
        </w:tblBorders>
        <w:tblLayout w:type="fixed"/>
      </w:tblPr>
      <w:tblGrid>
        <w:gridCol w:w="100"/>
        <w:gridCol w:w="100"/>
        <w:gridCol w:w="100"/>
        <w:gridCol w:w="100"/>
      </w:tblGrid>
      <w:tr>
        <w:trPr>
          <w:cantSplit/>
          <w:tblHeader/>
        </w:trPr>
        <w:tc>
          <w:tcPr>
            <w:tcW w:type="pct" w:w="25%"/>
            <w:tcBorders>
              <w:top w:val="none"/>
              <w:left w:val="none"/>
              <w:bottom w:val="single" w:color="D4875A" w:sz="2"/>
              <w:right w:val="none"/>
            </w:tcBorders>
            <w:shd w:fill="D4875A" w:val="clear"/>
            <w:tcMar>
              <w:top w:type="dxa" w:w="60"/>
              <w:left w:type="dxa" w:w="120"/>
              <w:bottom w:type="dxa" w:w="60"/>
              <w:right w:type="dxa" w:w="120"/>
            </w:tcMar>
          </w:tcPr>
          <w:p>
            <w:r>
              <w:rPr>
                <w:rFonts w:ascii="Calibri"/>
                <w:b/>
                <w:bCs/>
                <w:color w:val="FFFFFF"/>
                <w:sz w:val="21"/>
                <w:szCs w:val="21"/>
              </w:rPr>
              <w:t xml:space="preserve">Content Type</w:t>
            </w:r>
          </w:p>
        </w:tc>
        <w:tc>
          <w:tcPr>
            <w:tcW w:type="pct" w:w="25%"/>
            <w:tcBorders>
              <w:top w:val="none"/>
              <w:left w:val="none"/>
              <w:bottom w:val="single" w:color="D4875A" w:sz="2"/>
              <w:right w:val="none"/>
            </w:tcBorders>
            <w:shd w:fill="D4875A" w:val="clear"/>
            <w:tcMar>
              <w:top w:type="dxa" w:w="60"/>
              <w:left w:type="dxa" w:w="120"/>
              <w:bottom w:type="dxa" w:w="60"/>
              <w:right w:type="dxa" w:w="120"/>
            </w:tcMar>
          </w:tcPr>
          <w:p>
            <w:r>
              <w:rPr>
                <w:rFonts w:ascii="Calibri"/>
                <w:b/>
                <w:bCs/>
                <w:color w:val="FFFFFF"/>
                <w:sz w:val="21"/>
                <w:szCs w:val="21"/>
              </w:rPr>
              <w:t xml:space="preserve">Frequency</w:t>
            </w:r>
          </w:p>
        </w:tc>
        <w:tc>
          <w:tcPr>
            <w:tcW w:type="pct" w:w="25%"/>
            <w:tcBorders>
              <w:top w:val="none"/>
              <w:left w:val="none"/>
              <w:bottom w:val="single" w:color="D4875A" w:sz="2"/>
              <w:right w:val="none"/>
            </w:tcBorders>
            <w:shd w:fill="D4875A" w:val="clear"/>
            <w:tcMar>
              <w:top w:type="dxa" w:w="60"/>
              <w:left w:type="dxa" w:w="120"/>
              <w:bottom w:type="dxa" w:w="60"/>
              <w:right w:type="dxa" w:w="120"/>
            </w:tcMar>
          </w:tcPr>
          <w:p>
            <w:r>
              <w:rPr>
                <w:rFonts w:ascii="Calibri"/>
                <w:b/>
                <w:bCs/>
                <w:color w:val="FFFFFF"/>
                <w:sz w:val="21"/>
                <w:szCs w:val="21"/>
              </w:rPr>
              <w:t xml:space="preserve">Purpose</w:t>
            </w:r>
          </w:p>
        </w:tc>
        <w:tc>
          <w:tcPr>
            <w:tcW w:type="pct" w:w="25%"/>
            <w:tcBorders>
              <w:top w:val="none"/>
              <w:left w:val="none"/>
              <w:bottom w:val="single" w:color="D4875A" w:sz="2"/>
              <w:right w:val="none"/>
            </w:tcBorders>
            <w:shd w:fill="D4875A" w:val="clear"/>
            <w:tcMar>
              <w:top w:type="dxa" w:w="60"/>
              <w:left w:type="dxa" w:w="120"/>
              <w:bottom w:type="dxa" w:w="60"/>
              <w:right w:type="dxa" w:w="120"/>
            </w:tcMar>
          </w:tcPr>
          <w:p>
            <w:r>
              <w:rPr>
                <w:rFonts w:ascii="Calibri"/>
                <w:b/>
                <w:bCs/>
                <w:color w:val="FFFFFF"/>
                <w:sz w:val="21"/>
                <w:szCs w:val="21"/>
              </w:rPr>
              <w:t xml:space="preserve">Distribution Channels</w:t>
            </w:r>
          </w:p>
        </w:tc>
      </w:tr>
      <w:tr>
        <w:trPr>
          <w:cantSplit/>
        </w:trPr>
        <w:tc>
          <w:tcPr>
            <w:tcW w:type="pct" w:w="25%"/>
            <w:tcBorders>
              <w:top w:val="none"/>
              <w:left w:val="none"/>
              <w:bottom w:val="single" w:color="DDD0C8" w:sz="1"/>
              <w:right w:val="none"/>
            </w:tcBorders>
            <w:shd w:fill="F8F0EB" w:val="clear"/>
            <w:tcMar>
              <w:top w:type="dxa" w:w="60"/>
              <w:left w:type="dxa" w:w="120"/>
              <w:bottom w:type="dxa" w:w="60"/>
              <w:right w:type="dxa" w:w="120"/>
            </w:tcMar>
          </w:tcPr>
          <w:p>
            <w:r>
              <w:rPr>
                <w:rFonts w:ascii="Calibri"/>
                <w:color w:val="000000"/>
                <w:sz w:val="21"/>
                <w:szCs w:val="21"/>
              </w:rPr>
              <w:t xml:space="preserve">Benchmark Reports</w:t>
            </w:r>
          </w:p>
        </w:tc>
        <w:tc>
          <w:tcPr>
            <w:tcW w:type="pct" w:w="25%"/>
            <w:tcBorders>
              <w:top w:val="none"/>
              <w:left w:val="none"/>
              <w:bottom w:val="single" w:color="DDD0C8" w:sz="1"/>
              <w:right w:val="none"/>
            </w:tcBorders>
            <w:shd w:fill="F8F0EB" w:val="clear"/>
            <w:tcMar>
              <w:top w:type="dxa" w:w="60"/>
              <w:left w:type="dxa" w:w="120"/>
              <w:bottom w:type="dxa" w:w="60"/>
              <w:right w:type="dxa" w:w="120"/>
            </w:tcMar>
          </w:tcPr>
          <w:p>
            <w:r>
              <w:rPr>
                <w:rFonts w:ascii="Calibri"/>
                <w:color w:val="000000"/>
                <w:sz w:val="21"/>
                <w:szCs w:val="21"/>
              </w:rPr>
              <w:t xml:space="preserve">Quarterly</w:t>
            </w:r>
          </w:p>
        </w:tc>
        <w:tc>
          <w:tcPr>
            <w:tcW w:type="pct" w:w="25%"/>
            <w:tcBorders>
              <w:top w:val="none"/>
              <w:left w:val="none"/>
              <w:bottom w:val="single" w:color="DDD0C8" w:sz="1"/>
              <w:right w:val="none"/>
            </w:tcBorders>
            <w:shd w:fill="F8F0EB" w:val="clear"/>
            <w:tcMar>
              <w:top w:type="dxa" w:w="60"/>
              <w:left w:type="dxa" w:w="120"/>
              <w:bottom w:type="dxa" w:w="60"/>
              <w:right w:type="dxa" w:w="120"/>
            </w:tcMar>
          </w:tcPr>
          <w:p>
            <w:r>
              <w:rPr>
                <w:rFonts w:ascii="Calibri"/>
                <w:color w:val="000000"/>
                <w:sz w:val="21"/>
                <w:szCs w:val="21"/>
              </w:rPr>
              <w:t xml:space="preserve">Original research, link building</w:t>
            </w:r>
          </w:p>
        </w:tc>
        <w:tc>
          <w:tcPr>
            <w:tcW w:type="pct" w:w="25%"/>
            <w:tcBorders>
              <w:top w:val="none"/>
              <w:left w:val="none"/>
              <w:bottom w:val="single" w:color="DDD0C8" w:sz="1"/>
              <w:right w:val="none"/>
            </w:tcBorders>
            <w:shd w:fill="F8F0EB" w:val="clear"/>
            <w:tcMar>
              <w:top w:type="dxa" w:w="60"/>
              <w:left w:type="dxa" w:w="120"/>
              <w:bottom w:type="dxa" w:w="60"/>
              <w:right w:type="dxa" w:w="120"/>
            </w:tcMar>
          </w:tcPr>
          <w:p>
            <w:r>
              <w:rPr>
                <w:rFonts w:ascii="Calibri"/>
                <w:color w:val="000000"/>
                <w:sz w:val="21"/>
                <w:szCs w:val="21"/>
              </w:rPr>
              <w:t xml:space="preserve">Blog, email, PR, social media</w:t>
            </w:r>
          </w:p>
        </w:tc>
      </w:tr>
      <w:tr>
        <w:trPr>
          <w:cantSplit/>
        </w:trPr>
        <w:tc>
          <w:tcPr>
            <w:tcW w:type="pct" w:w="25%"/>
            <w:tcBorders>
              <w:top w:val="none"/>
              <w:left w:val="none"/>
              <w:bottom w:val="single" w:color="DDD0C8" w:sz="1"/>
              <w:right w:val="none"/>
            </w:tcBorders>
            <w:shd w:fill="FFFFFF" w:val="clear"/>
            <w:tcMar>
              <w:top w:type="dxa" w:w="60"/>
              <w:left w:type="dxa" w:w="120"/>
              <w:bottom w:type="dxa" w:w="60"/>
              <w:right w:type="dxa" w:w="120"/>
            </w:tcMar>
          </w:tcPr>
          <w:p>
            <w:r>
              <w:rPr>
                <w:rFonts w:ascii="Calibri"/>
                <w:color w:val="000000"/>
                <w:sz w:val="21"/>
                <w:szCs w:val="21"/>
              </w:rPr>
              <w:t xml:space="preserve">Comparison Guides</w:t>
            </w:r>
          </w:p>
        </w:tc>
        <w:tc>
          <w:tcPr>
            <w:tcW w:type="pct" w:w="25%"/>
            <w:tcBorders>
              <w:top w:val="none"/>
              <w:left w:val="none"/>
              <w:bottom w:val="single" w:color="DDD0C8" w:sz="1"/>
              <w:right w:val="none"/>
            </w:tcBorders>
            <w:shd w:fill="FFFFFF" w:val="clear"/>
            <w:tcMar>
              <w:top w:type="dxa" w:w="60"/>
              <w:left w:type="dxa" w:w="120"/>
              <w:bottom w:type="dxa" w:w="60"/>
              <w:right w:type="dxa" w:w="120"/>
            </w:tcMar>
          </w:tcPr>
          <w:p>
            <w:r>
              <w:rPr>
                <w:rFonts w:ascii="Calibri"/>
                <w:color w:val="000000"/>
                <w:sz w:val="21"/>
                <w:szCs w:val="21"/>
              </w:rPr>
              <w:t xml:space="preserve">Bi-weekly</w:t>
            </w:r>
          </w:p>
        </w:tc>
        <w:tc>
          <w:tcPr>
            <w:tcW w:type="pct" w:w="25%"/>
            <w:tcBorders>
              <w:top w:val="none"/>
              <w:left w:val="none"/>
              <w:bottom w:val="single" w:color="DDD0C8" w:sz="1"/>
              <w:right w:val="none"/>
            </w:tcBorders>
            <w:shd w:fill="FFFFFF" w:val="clear"/>
            <w:tcMar>
              <w:top w:type="dxa" w:w="60"/>
              <w:left w:type="dxa" w:w="120"/>
              <w:bottom w:type="dxa" w:w="60"/>
              <w:right w:type="dxa" w:w="120"/>
            </w:tcMar>
          </w:tcPr>
          <w:p>
            <w:r>
              <w:rPr>
                <w:rFonts w:ascii="Calibri"/>
                <w:color w:val="000000"/>
                <w:sz w:val="21"/>
                <w:szCs w:val="21"/>
              </w:rPr>
              <w:t xml:space="preserve">SEO, mid-funnel education</w:t>
            </w:r>
          </w:p>
        </w:tc>
        <w:tc>
          <w:tcPr>
            <w:tcW w:type="pct" w:w="25%"/>
            <w:tcBorders>
              <w:top w:val="none"/>
              <w:left w:val="none"/>
              <w:bottom w:val="single" w:color="DDD0C8" w:sz="1"/>
              <w:right w:val="none"/>
            </w:tcBorders>
            <w:shd w:fill="FFFFFF" w:val="clear"/>
            <w:tcMar>
              <w:top w:type="dxa" w:w="60"/>
              <w:left w:type="dxa" w:w="120"/>
              <w:bottom w:type="dxa" w:w="60"/>
              <w:right w:type="dxa" w:w="120"/>
            </w:tcMar>
          </w:tcPr>
          <w:p>
            <w:r>
              <w:rPr>
                <w:rFonts w:ascii="Calibri"/>
                <w:color w:val="000000"/>
                <w:sz w:val="21"/>
                <w:szCs w:val="21"/>
              </w:rPr>
              <w:t xml:space="preserve">Blog, Google Ads landing pages</w:t>
            </w:r>
          </w:p>
        </w:tc>
      </w:tr>
      <w:tr>
        <w:trPr>
          <w:cantSplit/>
        </w:trPr>
        <w:tc>
          <w:tcPr>
            <w:tcW w:type="pct" w:w="25%"/>
            <w:tcBorders>
              <w:top w:val="none"/>
              <w:left w:val="none"/>
              <w:bottom w:val="single" w:color="DDD0C8" w:sz="1"/>
              <w:right w:val="none"/>
            </w:tcBorders>
            <w:shd w:fill="F8F0EB" w:val="clear"/>
            <w:tcMar>
              <w:top w:type="dxa" w:w="60"/>
              <w:left w:type="dxa" w:w="120"/>
              <w:bottom w:type="dxa" w:w="60"/>
              <w:right w:type="dxa" w:w="120"/>
            </w:tcMar>
          </w:tcPr>
          <w:p>
            <w:r>
              <w:rPr>
                <w:rFonts w:ascii="Calibri"/>
                <w:color w:val="000000"/>
                <w:sz w:val="21"/>
                <w:szCs w:val="21"/>
              </w:rPr>
              <w:t xml:space="preserve">Tutorial Articles</w:t>
            </w:r>
          </w:p>
        </w:tc>
        <w:tc>
          <w:tcPr>
            <w:tcW w:type="pct" w:w="25%"/>
            <w:tcBorders>
              <w:top w:val="none"/>
              <w:left w:val="none"/>
              <w:bottom w:val="single" w:color="DDD0C8" w:sz="1"/>
              <w:right w:val="none"/>
            </w:tcBorders>
            <w:shd w:fill="F8F0EB" w:val="clear"/>
            <w:tcMar>
              <w:top w:type="dxa" w:w="60"/>
              <w:left w:type="dxa" w:w="120"/>
              <w:bottom w:type="dxa" w:w="60"/>
              <w:right w:type="dxa" w:w="120"/>
            </w:tcMar>
          </w:tcPr>
          <w:p>
            <w:r>
              <w:rPr>
                <w:rFonts w:ascii="Calibri"/>
                <w:color w:val="000000"/>
                <w:sz w:val="21"/>
                <w:szCs w:val="21"/>
              </w:rPr>
              <w:t xml:space="preserve">Weekly</w:t>
            </w:r>
          </w:p>
        </w:tc>
        <w:tc>
          <w:tcPr>
            <w:tcW w:type="pct" w:w="25%"/>
            <w:tcBorders>
              <w:top w:val="none"/>
              <w:left w:val="none"/>
              <w:bottom w:val="single" w:color="DDD0C8" w:sz="1"/>
              <w:right w:val="none"/>
            </w:tcBorders>
            <w:shd w:fill="F8F0EB" w:val="clear"/>
            <w:tcMar>
              <w:top w:type="dxa" w:w="60"/>
              <w:left w:type="dxa" w:w="120"/>
              <w:bottom w:type="dxa" w:w="60"/>
              <w:right w:type="dxa" w:w="120"/>
            </w:tcMar>
          </w:tcPr>
          <w:p>
            <w:r>
              <w:rPr>
                <w:rFonts w:ascii="Calibri"/>
                <w:color w:val="000000"/>
                <w:sz w:val="21"/>
                <w:szCs w:val="21"/>
              </w:rPr>
              <w:t xml:space="preserve">SEO, user onboarding</w:t>
            </w:r>
          </w:p>
        </w:tc>
        <w:tc>
          <w:tcPr>
            <w:tcW w:type="pct" w:w="25%"/>
            <w:tcBorders>
              <w:top w:val="none"/>
              <w:left w:val="none"/>
              <w:bottom w:val="single" w:color="DDD0C8" w:sz="1"/>
              <w:right w:val="none"/>
            </w:tcBorders>
            <w:shd w:fill="F8F0EB" w:val="clear"/>
            <w:tcMar>
              <w:top w:type="dxa" w:w="60"/>
              <w:left w:type="dxa" w:w="120"/>
              <w:bottom w:type="dxa" w:w="60"/>
              <w:right w:type="dxa" w:w="120"/>
            </w:tcMar>
          </w:tcPr>
          <w:p>
            <w:r>
              <w:rPr>
                <w:rFonts w:ascii="Calibri"/>
                <w:color w:val="000000"/>
                <w:sz w:val="21"/>
                <w:szCs w:val="21"/>
              </w:rPr>
              <w:t xml:space="preserve">Blog, community portal, YouTube</w:t>
            </w:r>
          </w:p>
        </w:tc>
      </w:tr>
      <w:tr>
        <w:trPr>
          <w:cantSplit/>
        </w:trPr>
        <w:tc>
          <w:tcPr>
            <w:tcW w:type="pct" w:w="25%"/>
            <w:tcBorders>
              <w:top w:val="none"/>
              <w:left w:val="none"/>
              <w:bottom w:val="single" w:color="DDD0C8" w:sz="1"/>
              <w:right w:val="none"/>
            </w:tcBorders>
            <w:shd w:fill="FFFFFF" w:val="clear"/>
            <w:tcMar>
              <w:top w:type="dxa" w:w="60"/>
              <w:left w:type="dxa" w:w="120"/>
              <w:bottom w:type="dxa" w:w="60"/>
              <w:right w:type="dxa" w:w="120"/>
            </w:tcMar>
          </w:tcPr>
          <w:p>
            <w:r>
              <w:rPr>
                <w:rFonts w:ascii="Calibri"/>
                <w:color w:val="000000"/>
                <w:sz w:val="21"/>
                <w:szCs w:val="21"/>
              </w:rPr>
              <w:t xml:space="preserve">Case Studies</w:t>
            </w:r>
          </w:p>
        </w:tc>
        <w:tc>
          <w:tcPr>
            <w:tcW w:type="pct" w:w="25%"/>
            <w:tcBorders>
              <w:top w:val="none"/>
              <w:left w:val="none"/>
              <w:bottom w:val="single" w:color="DDD0C8" w:sz="1"/>
              <w:right w:val="none"/>
            </w:tcBorders>
            <w:shd w:fill="FFFFFF" w:val="clear"/>
            <w:tcMar>
              <w:top w:type="dxa" w:w="60"/>
              <w:left w:type="dxa" w:w="120"/>
              <w:bottom w:type="dxa" w:w="60"/>
              <w:right w:type="dxa" w:w="120"/>
            </w:tcMar>
          </w:tcPr>
          <w:p>
            <w:r>
              <w:rPr>
                <w:rFonts w:ascii="Calibri"/>
                <w:color w:val="000000"/>
                <w:sz w:val="21"/>
                <w:szCs w:val="21"/>
              </w:rPr>
              <w:t xml:space="preserve">Monthly</w:t>
            </w:r>
          </w:p>
        </w:tc>
        <w:tc>
          <w:tcPr>
            <w:tcW w:type="pct" w:w="25%"/>
            <w:tcBorders>
              <w:top w:val="none"/>
              <w:left w:val="none"/>
              <w:bottom w:val="single" w:color="DDD0C8" w:sz="1"/>
              <w:right w:val="none"/>
            </w:tcBorders>
            <w:shd w:fill="FFFFFF" w:val="clear"/>
            <w:tcMar>
              <w:top w:type="dxa" w:w="60"/>
              <w:left w:type="dxa" w:w="120"/>
              <w:bottom w:type="dxa" w:w="60"/>
              <w:right w:type="dxa" w:w="120"/>
            </w:tcMar>
          </w:tcPr>
          <w:p>
            <w:r>
              <w:rPr>
                <w:rFonts w:ascii="Calibri"/>
                <w:color w:val="000000"/>
                <w:sz w:val="21"/>
                <w:szCs w:val="21"/>
              </w:rPr>
              <w:t xml:space="preserve">Enterprise conversion, ABM</w:t>
            </w:r>
          </w:p>
        </w:tc>
        <w:tc>
          <w:tcPr>
            <w:tcW w:type="pct" w:w="25%"/>
            <w:tcBorders>
              <w:top w:val="none"/>
              <w:left w:val="none"/>
              <w:bottom w:val="single" w:color="DDD0C8" w:sz="1"/>
              <w:right w:val="none"/>
            </w:tcBorders>
            <w:shd w:fill="FFFFFF" w:val="clear"/>
            <w:tcMar>
              <w:top w:type="dxa" w:w="60"/>
              <w:left w:type="dxa" w:w="120"/>
              <w:bottom w:type="dxa" w:w="60"/>
              <w:right w:type="dxa" w:w="120"/>
            </w:tcMar>
          </w:tcPr>
          <w:p>
            <w:r>
              <w:rPr>
                <w:rFonts w:ascii="Calibri"/>
                <w:color w:val="000000"/>
                <w:sz w:val="21"/>
                <w:szCs w:val="21"/>
              </w:rPr>
              <w:t xml:space="preserve">Website, LinkedIn, email nurture</w:t>
            </w:r>
          </w:p>
        </w:tc>
      </w:tr>
      <w:tr>
        <w:trPr>
          <w:cantSplit/>
        </w:trPr>
        <w:tc>
          <w:tcPr>
            <w:tcW w:type="pct" w:w="25%"/>
            <w:tcBorders>
              <w:top w:val="none"/>
              <w:left w:val="none"/>
              <w:bottom w:val="single" w:color="DDD0C8" w:sz="1"/>
              <w:right w:val="none"/>
            </w:tcBorders>
            <w:shd w:fill="F8F0EB" w:val="clear"/>
            <w:tcMar>
              <w:top w:type="dxa" w:w="60"/>
              <w:left w:type="dxa" w:w="120"/>
              <w:bottom w:type="dxa" w:w="60"/>
              <w:right w:type="dxa" w:w="120"/>
            </w:tcMar>
          </w:tcPr>
          <w:p>
            <w:r>
              <w:rPr>
                <w:rFonts w:ascii="Calibri"/>
                <w:color w:val="000000"/>
                <w:sz w:val="21"/>
                <w:szCs w:val="21"/>
              </w:rPr>
              <w:t xml:space="preserve">AI News Digest</w:t>
            </w:r>
          </w:p>
        </w:tc>
        <w:tc>
          <w:tcPr>
            <w:tcW w:type="pct" w:w="25%"/>
            <w:tcBorders>
              <w:top w:val="none"/>
              <w:left w:val="none"/>
              <w:bottom w:val="single" w:color="DDD0C8" w:sz="1"/>
              <w:right w:val="none"/>
            </w:tcBorders>
            <w:shd w:fill="F8F0EB" w:val="clear"/>
            <w:tcMar>
              <w:top w:type="dxa" w:w="60"/>
              <w:left w:type="dxa" w:w="120"/>
              <w:bottom w:type="dxa" w:w="60"/>
              <w:right w:type="dxa" w:w="120"/>
            </w:tcMar>
          </w:tcPr>
          <w:p>
            <w:r>
              <w:rPr>
                <w:rFonts w:ascii="Calibri"/>
                <w:color w:val="000000"/>
                <w:sz w:val="21"/>
                <w:szCs w:val="21"/>
              </w:rPr>
              <w:t xml:space="preserve">Daily/Weekly</w:t>
            </w:r>
          </w:p>
        </w:tc>
        <w:tc>
          <w:tcPr>
            <w:tcW w:type="pct" w:w="25%"/>
            <w:tcBorders>
              <w:top w:val="none"/>
              <w:left w:val="none"/>
              <w:bottom w:val="single" w:color="DDD0C8" w:sz="1"/>
              <w:right w:val="none"/>
            </w:tcBorders>
            <w:shd w:fill="F8F0EB" w:val="clear"/>
            <w:tcMar>
              <w:top w:type="dxa" w:w="60"/>
              <w:left w:type="dxa" w:w="120"/>
              <w:bottom w:type="dxa" w:w="60"/>
              <w:right w:type="dxa" w:w="120"/>
            </w:tcMar>
          </w:tcPr>
          <w:p>
            <w:r>
              <w:rPr>
                <w:rFonts w:ascii="Calibri"/>
                <w:color w:val="000000"/>
                <w:sz w:val="21"/>
                <w:szCs w:val="21"/>
              </w:rPr>
              <w:t xml:space="preserve">Community engagement, retention</w:t>
            </w:r>
          </w:p>
        </w:tc>
        <w:tc>
          <w:tcPr>
            <w:tcW w:type="pct" w:w="25%"/>
            <w:tcBorders>
              <w:top w:val="none"/>
              <w:left w:val="none"/>
              <w:bottom w:val="single" w:color="DDD0C8" w:sz="1"/>
              <w:right w:val="none"/>
            </w:tcBorders>
            <w:shd w:fill="F8F0EB" w:val="clear"/>
            <w:tcMar>
              <w:top w:type="dxa" w:w="60"/>
              <w:left w:type="dxa" w:w="120"/>
              <w:bottom w:type="dxa" w:w="60"/>
              <w:right w:type="dxa" w:w="120"/>
            </w:tcMar>
          </w:tcPr>
          <w:p>
            <w:r>
              <w:rPr>
                <w:rFonts w:ascii="Calibri"/>
                <w:color w:val="000000"/>
                <w:sz w:val="21"/>
                <w:szCs w:val="21"/>
              </w:rPr>
              <w:t xml:space="preserve">Community portal, email newsletter</w:t>
            </w:r>
          </w:p>
        </w:tc>
      </w:tr>
      <w:tr>
        <w:trPr>
          <w:cantSplit/>
        </w:trPr>
        <w:tc>
          <w:tcPr>
            <w:tcW w:type="pct" w:w="25%"/>
            <w:tcBorders>
              <w:top w:val="none"/>
              <w:left w:val="none"/>
              <w:bottom w:val="single" w:color="DDD0C8" w:sz="1"/>
              <w:right w:val="none"/>
            </w:tcBorders>
            <w:shd w:fill="FFFFFF" w:val="clear"/>
            <w:tcMar>
              <w:top w:type="dxa" w:w="60"/>
              <w:left w:type="dxa" w:w="120"/>
              <w:bottom w:type="dxa" w:w="60"/>
              <w:right w:type="dxa" w:w="120"/>
            </w:tcMar>
          </w:tcPr>
          <w:p>
            <w:r>
              <w:rPr>
                <w:rFonts w:ascii="Calibri"/>
                <w:color w:val="000000"/>
                <w:sz w:val="21"/>
                <w:szCs w:val="21"/>
              </w:rPr>
              <w:t xml:space="preserve">Video Tutorials</w:t>
            </w:r>
          </w:p>
        </w:tc>
        <w:tc>
          <w:tcPr>
            <w:tcW w:type="pct" w:w="25%"/>
            <w:tcBorders>
              <w:top w:val="none"/>
              <w:left w:val="none"/>
              <w:bottom w:val="single" w:color="DDD0C8" w:sz="1"/>
              <w:right w:val="none"/>
            </w:tcBorders>
            <w:shd w:fill="FFFFFF" w:val="clear"/>
            <w:tcMar>
              <w:top w:type="dxa" w:w="60"/>
              <w:left w:type="dxa" w:w="120"/>
              <w:bottom w:type="dxa" w:w="60"/>
              <w:right w:type="dxa" w:w="120"/>
            </w:tcMar>
          </w:tcPr>
          <w:p>
            <w:r>
              <w:rPr>
                <w:rFonts w:ascii="Calibri"/>
                <w:color w:val="000000"/>
                <w:sz w:val="21"/>
                <w:szCs w:val="21"/>
              </w:rPr>
              <w:t xml:space="preserve">Bi-weekly</w:t>
            </w:r>
          </w:p>
        </w:tc>
        <w:tc>
          <w:tcPr>
            <w:tcW w:type="pct" w:w="25%"/>
            <w:tcBorders>
              <w:top w:val="none"/>
              <w:left w:val="none"/>
              <w:bottom w:val="single" w:color="DDD0C8" w:sz="1"/>
              <w:right w:val="none"/>
            </w:tcBorders>
            <w:shd w:fill="FFFFFF" w:val="clear"/>
            <w:tcMar>
              <w:top w:type="dxa" w:w="60"/>
              <w:left w:type="dxa" w:w="120"/>
              <w:bottom w:type="dxa" w:w="60"/>
              <w:right w:type="dxa" w:w="120"/>
            </w:tcMar>
          </w:tcPr>
          <w:p>
            <w:r>
              <w:rPr>
                <w:rFonts w:ascii="Calibri"/>
                <w:color w:val="000000"/>
                <w:sz w:val="21"/>
                <w:szCs w:val="21"/>
              </w:rPr>
              <w:t xml:space="preserve">YouTube growth, product education</w:t>
            </w:r>
          </w:p>
        </w:tc>
        <w:tc>
          <w:tcPr>
            <w:tcW w:type="pct" w:w="25%"/>
            <w:tcBorders>
              <w:top w:val="none"/>
              <w:left w:val="none"/>
              <w:bottom w:val="single" w:color="DDD0C8" w:sz="1"/>
              <w:right w:val="none"/>
            </w:tcBorders>
            <w:shd w:fill="FFFFFF" w:val="clear"/>
            <w:tcMar>
              <w:top w:type="dxa" w:w="60"/>
              <w:left w:type="dxa" w:w="120"/>
              <w:bottom w:type="dxa" w:w="60"/>
              <w:right w:type="dxa" w:w="120"/>
            </w:tcMar>
          </w:tcPr>
          <w:p>
            <w:r>
              <w:rPr>
                <w:rFonts w:ascii="Calibri"/>
                <w:color w:val="000000"/>
                <w:sz w:val="21"/>
                <w:szCs w:val="21"/>
              </w:rPr>
              <w:t xml:space="preserve">YouTube, blog embed, social clips</w:t>
            </w:r>
          </w:p>
        </w:tc>
      </w:tr>
      <w:tr>
        <w:trPr>
          <w:cantSplit/>
        </w:trPr>
        <w:tc>
          <w:tcPr>
            <w:tcW w:type="pct" w:w="25%"/>
            <w:tcBorders>
              <w:top w:val="none"/>
              <w:left w:val="none"/>
              <w:bottom w:val="single" w:color="DDD0C8" w:sz="1"/>
              <w:right w:val="none"/>
            </w:tcBorders>
            <w:shd w:fill="F8F0EB" w:val="clear"/>
            <w:tcMar>
              <w:top w:type="dxa" w:w="60"/>
              <w:left w:type="dxa" w:w="120"/>
              <w:bottom w:type="dxa" w:w="60"/>
              <w:right w:type="dxa" w:w="120"/>
            </w:tcMar>
          </w:tcPr>
          <w:p>
            <w:r>
              <w:rPr>
                <w:rFonts w:ascii="Calibri"/>
                <w:color w:val="000000"/>
                <w:sz w:val="21"/>
                <w:szCs w:val="21"/>
              </w:rPr>
              <w:t xml:space="preserve">Infographics</w:t>
            </w:r>
          </w:p>
        </w:tc>
        <w:tc>
          <w:tcPr>
            <w:tcW w:type="pct" w:w="25%"/>
            <w:tcBorders>
              <w:top w:val="none"/>
              <w:left w:val="none"/>
              <w:bottom w:val="single" w:color="DDD0C8" w:sz="1"/>
              <w:right w:val="none"/>
            </w:tcBorders>
            <w:shd w:fill="F8F0EB" w:val="clear"/>
            <w:tcMar>
              <w:top w:type="dxa" w:w="60"/>
              <w:left w:type="dxa" w:w="120"/>
              <w:bottom w:type="dxa" w:w="60"/>
              <w:right w:type="dxa" w:w="120"/>
            </w:tcMar>
          </w:tcPr>
          <w:p>
            <w:r>
              <w:rPr>
                <w:rFonts w:ascii="Calibri"/>
                <w:color w:val="000000"/>
                <w:sz w:val="21"/>
                <w:szCs w:val="21"/>
              </w:rPr>
              <w:t xml:space="preserve">Monthly</w:t>
            </w:r>
          </w:p>
        </w:tc>
        <w:tc>
          <w:tcPr>
            <w:tcW w:type="pct" w:w="25%"/>
            <w:tcBorders>
              <w:top w:val="none"/>
              <w:left w:val="none"/>
              <w:bottom w:val="single" w:color="DDD0C8" w:sz="1"/>
              <w:right w:val="none"/>
            </w:tcBorders>
            <w:shd w:fill="F8F0EB" w:val="clear"/>
            <w:tcMar>
              <w:top w:type="dxa" w:w="60"/>
              <w:left w:type="dxa" w:w="120"/>
              <w:bottom w:type="dxa" w:w="60"/>
              <w:right w:type="dxa" w:w="120"/>
            </w:tcMar>
          </w:tcPr>
          <w:p>
            <w:r>
              <w:rPr>
                <w:rFonts w:ascii="Calibri"/>
                <w:color w:val="000000"/>
                <w:sz w:val="21"/>
                <w:szCs w:val="21"/>
              </w:rPr>
              <w:t xml:space="preserve">Social sharing, backlinks</w:t>
            </w:r>
          </w:p>
        </w:tc>
        <w:tc>
          <w:tcPr>
            <w:tcW w:type="pct" w:w="25%"/>
            <w:tcBorders>
              <w:top w:val="none"/>
              <w:left w:val="none"/>
              <w:bottom w:val="single" w:color="DDD0C8" w:sz="1"/>
              <w:right w:val="none"/>
            </w:tcBorders>
            <w:shd w:fill="F8F0EB" w:val="clear"/>
            <w:tcMar>
              <w:top w:type="dxa" w:w="60"/>
              <w:left w:type="dxa" w:w="120"/>
              <w:bottom w:type="dxa" w:w="60"/>
              <w:right w:type="dxa" w:w="120"/>
            </w:tcMar>
          </w:tcPr>
          <w:p>
            <w:r>
              <w:rPr>
                <w:rFonts w:ascii="Calibri"/>
                <w:color w:val="000000"/>
                <w:sz w:val="21"/>
                <w:szCs w:val="21"/>
              </w:rPr>
              <w:t xml:space="preserve">Pinterest, LinkedIn, Twitter/X</w:t>
            </w:r>
          </w:p>
        </w:tc>
      </w:tr>
    </w:tbl>
    <w:p>
      <w:pPr>
        <w:spacing w:after="60" w:before="60"/>
      </w:pPr>
    </w:p>
    <w:p>
      <w:pPr>
        <w:pStyle w:val="Heading3"/>
        <w:spacing w:after="100" w:before="200" w:line="312"/>
      </w:pPr>
      <w:bookmarkStart w:id="100017" w:name="_Toc100017"/>
      <w:r>
        <w:rPr>
          <w:rFonts w:ascii="Times New Roman"/>
          <w:b/>
          <w:bCs/>
          <w:color w:val="0B1220"/>
          <w:sz w:val="24"/>
          <w:szCs w:val="24"/>
        </w:rPr>
        <w:t xml:space="preserve">3.3.2 Thought Leadership &amp; Original Research</w:t>
      </w:r>
      <w:bookmarkEnd w:id="100017"/>
    </w:p>
    <w:p>
      <w:pPr>
        <w:spacing w:after="120" w:line="312"/>
        <w:ind w:firstLine="480"/>
        <w:jc w:val="both"/>
      </w:pPr>
      <w:r>
        <w:rPr>
          <w:rFonts w:ascii="Times New Roman"/>
          <w:color w:val="000000"/>
          <w:sz w:val="24"/>
          <w:szCs w:val="24"/>
        </w:rPr>
        <w:t xml:space="preserve">The most powerful content asset for TheOneWayGDA is its proprietary benchmark data. No other platform combines 6 standardized benchmarks with live latency and pricing data for 19+ AI models. This data should be leveraged to create original research that positions TheOneWayGDA as the definitive source for AI model evaluation insights. Quarterly 'State of AI Models' reports should analyze trends across benchmarks, identify emerging performers, and provide actionable recommendations for organizations choosing AI models. These reports should be published as downloadable PDFs with interactive web versions, promoted through PR distribution services, and offered as gated content for lead generation.</w:t>
      </w:r>
    </w:p>
    <w:p>
      <w:pPr>
        <w:spacing w:after="120" w:line="312"/>
        <w:ind w:firstLine="480"/>
        <w:jc w:val="both"/>
      </w:pPr>
      <w:r>
        <w:rPr>
          <w:rFonts w:ascii="Times New Roman"/>
          <w:color w:val="000000"/>
          <w:sz w:val="24"/>
          <w:szCs w:val="24"/>
        </w:rPr>
        <w:t xml:space="preserve">Beyond benchmark reports, the content team should pursue thought leadership through opinion pieces on the future of AI evaluation, contributions to open-source benchmarking standards, partnerships with academic researchers for peer-reviewed publications, and speaking engagements at AI and data science conferences. The goal is to make TheOneWayGDA synonymous with AI model evaluation in the same way that Gartner is synonymous with technology research.</w:t>
      </w:r>
    </w:p>
    <w:p>
      <w:pPr>
        <w:pStyle w:val="Heading2"/>
        <w:spacing w:after="120" w:before="280" w:line="312"/>
      </w:pPr>
      <w:bookmarkStart w:id="100018" w:name="_Toc100018"/>
      <w:r>
        <w:rPr>
          <w:rFonts w:ascii="Times New Roman"/>
          <w:b/>
          <w:bCs/>
          <w:color w:val="0B1220"/>
          <w:sz w:val="28"/>
          <w:szCs w:val="28"/>
        </w:rPr>
        <w:t xml:space="preserve">3.4 Email Marketing &amp; Nurturing</w:t>
      </w:r>
      <w:bookmarkEnd w:id="100018"/>
    </w:p>
    <w:p>
      <w:pPr>
        <w:pStyle w:val="Heading3"/>
        <w:spacing w:after="100" w:before="200" w:line="312"/>
      </w:pPr>
      <w:bookmarkStart w:id="100019" w:name="_Toc100019"/>
      <w:r>
        <w:rPr>
          <w:rFonts w:ascii="Times New Roman"/>
          <w:b/>
          <w:bCs/>
          <w:color w:val="0B1220"/>
          <w:sz w:val="24"/>
          <w:szCs w:val="24"/>
        </w:rPr>
        <w:t xml:space="preserve">3.4.1 Email Funnel Architecture</w:t>
      </w:r>
      <w:bookmarkEnd w:id="100019"/>
    </w:p>
    <w:p>
      <w:pPr>
        <w:spacing w:after="120" w:line="312"/>
        <w:ind w:firstLine="480"/>
        <w:jc w:val="both"/>
      </w:pPr>
      <w:r>
        <w:rPr>
          <w:rFonts w:ascii="Times New Roman"/>
          <w:color w:val="000000"/>
          <w:sz w:val="24"/>
          <w:szCs w:val="24"/>
        </w:rPr>
        <w:t xml:space="preserve">Email marketing will be structured as a multi-stage funnel that guides prospects from initial awareness through activation to conversion and retention. The architecture consists of five distinct email streams, each triggered by specific user behaviors and designed to move prospects to the next stage of their journey.</w:t>
      </w:r>
    </w:p>
    <w:p>
      <w:pPr>
        <w:keepNext/>
        <w:spacing w:after="80" w:before="200" w:line="312"/>
      </w:pPr>
      <w:r>
        <w:rPr>
          <w:rFonts w:ascii="Times New Roman"/>
          <w:b/>
          <w:bCs/>
          <w:color w:val="506070"/>
          <w:sz w:val="21"/>
          <w:szCs w:val="21"/>
        </w:rPr>
        <w:t xml:space="preserve">Table 4: Email Funnel Architecture</w:t>
      </w:r>
    </w:p>
    <w:tbl>
      <w:tblPr>
        <w:tblW w:type="pct" w:w="100%"/>
        <w:tblBorders>
          <w:top w:val="single" w:color="D4875A" w:sz="2"/>
          <w:left w:val="none"/>
          <w:bottom w:val="single" w:color="D4875A" w:sz="2"/>
          <w:right w:val="none"/>
          <w:insideH w:val="single" w:color="DDD0C8" w:sz="1"/>
          <w:insideV w:val="none"/>
        </w:tblBorders>
        <w:tblLayout w:type="fixed"/>
      </w:tblPr>
      <w:tblGrid>
        <w:gridCol w:w="100"/>
        <w:gridCol w:w="100"/>
        <w:gridCol w:w="100"/>
        <w:gridCol w:w="100"/>
        <w:gridCol w:w="100"/>
      </w:tblGrid>
      <w:tr>
        <w:trPr>
          <w:cantSplit/>
          <w:tblHeader/>
        </w:trPr>
        <w:tc>
          <w:tcPr>
            <w:tcW w:type="pct" w:w="20%"/>
            <w:tcBorders>
              <w:top w:val="none"/>
              <w:left w:val="none"/>
              <w:bottom w:val="single" w:color="D4875A" w:sz="2"/>
              <w:right w:val="none"/>
            </w:tcBorders>
            <w:shd w:fill="D4875A" w:val="clear"/>
            <w:tcMar>
              <w:top w:type="dxa" w:w="60"/>
              <w:left w:type="dxa" w:w="120"/>
              <w:bottom w:type="dxa" w:w="60"/>
              <w:right w:type="dxa" w:w="120"/>
            </w:tcMar>
          </w:tcPr>
          <w:p>
            <w:r>
              <w:rPr>
                <w:rFonts w:ascii="Calibri"/>
                <w:b/>
                <w:bCs/>
                <w:color w:val="FFFFFF"/>
                <w:sz w:val="21"/>
                <w:szCs w:val="21"/>
              </w:rPr>
              <w:t xml:space="preserve">Email Stream</w:t>
            </w:r>
          </w:p>
        </w:tc>
        <w:tc>
          <w:tcPr>
            <w:tcW w:type="pct" w:w="20%"/>
            <w:tcBorders>
              <w:top w:val="none"/>
              <w:left w:val="none"/>
              <w:bottom w:val="single" w:color="D4875A" w:sz="2"/>
              <w:right w:val="none"/>
            </w:tcBorders>
            <w:shd w:fill="D4875A" w:val="clear"/>
            <w:tcMar>
              <w:top w:type="dxa" w:w="60"/>
              <w:left w:type="dxa" w:w="120"/>
              <w:bottom w:type="dxa" w:w="60"/>
              <w:right w:type="dxa" w:w="120"/>
            </w:tcMar>
          </w:tcPr>
          <w:p>
            <w:r>
              <w:rPr>
                <w:rFonts w:ascii="Calibri"/>
                <w:b/>
                <w:bCs/>
                <w:color w:val="FFFFFF"/>
                <w:sz w:val="21"/>
                <w:szCs w:val="21"/>
              </w:rPr>
              <w:t xml:space="preserve">Trigger</w:t>
            </w:r>
          </w:p>
        </w:tc>
        <w:tc>
          <w:tcPr>
            <w:tcW w:type="pct" w:w="20%"/>
            <w:tcBorders>
              <w:top w:val="none"/>
              <w:left w:val="none"/>
              <w:bottom w:val="single" w:color="D4875A" w:sz="2"/>
              <w:right w:val="none"/>
            </w:tcBorders>
            <w:shd w:fill="D4875A" w:val="clear"/>
            <w:tcMar>
              <w:top w:type="dxa" w:w="60"/>
              <w:left w:type="dxa" w:w="120"/>
              <w:bottom w:type="dxa" w:w="60"/>
              <w:right w:type="dxa" w:w="120"/>
            </w:tcMar>
          </w:tcPr>
          <w:p>
            <w:r>
              <w:rPr>
                <w:rFonts w:ascii="Calibri"/>
                <w:b/>
                <w:bCs/>
                <w:color w:val="FFFFFF"/>
                <w:sz w:val="21"/>
                <w:szCs w:val="21"/>
              </w:rPr>
              <w:t xml:space="preserve">Volume</w:t>
            </w:r>
          </w:p>
        </w:tc>
        <w:tc>
          <w:tcPr>
            <w:tcW w:type="pct" w:w="20%"/>
            <w:tcBorders>
              <w:top w:val="none"/>
              <w:left w:val="none"/>
              <w:bottom w:val="single" w:color="D4875A" w:sz="2"/>
              <w:right w:val="none"/>
            </w:tcBorders>
            <w:shd w:fill="D4875A" w:val="clear"/>
            <w:tcMar>
              <w:top w:type="dxa" w:w="60"/>
              <w:left w:type="dxa" w:w="120"/>
              <w:bottom w:type="dxa" w:w="60"/>
              <w:right w:type="dxa" w:w="120"/>
            </w:tcMar>
          </w:tcPr>
          <w:p>
            <w:r>
              <w:rPr>
                <w:rFonts w:ascii="Calibri"/>
                <w:b/>
                <w:bCs/>
                <w:color w:val="FFFFFF"/>
                <w:sz w:val="21"/>
                <w:szCs w:val="21"/>
              </w:rPr>
              <w:t xml:space="preserve">Goal</w:t>
            </w:r>
          </w:p>
        </w:tc>
        <w:tc>
          <w:tcPr>
            <w:tcW w:type="pct" w:w="20%"/>
            <w:tcBorders>
              <w:top w:val="none"/>
              <w:left w:val="none"/>
              <w:bottom w:val="single" w:color="D4875A" w:sz="2"/>
              <w:right w:val="none"/>
            </w:tcBorders>
            <w:shd w:fill="D4875A" w:val="clear"/>
            <w:tcMar>
              <w:top w:type="dxa" w:w="60"/>
              <w:left w:type="dxa" w:w="120"/>
              <w:bottom w:type="dxa" w:w="60"/>
              <w:right w:type="dxa" w:w="120"/>
            </w:tcMar>
          </w:tcPr>
          <w:p>
            <w:r>
              <w:rPr>
                <w:rFonts w:ascii="Calibri"/>
                <w:b/>
                <w:bCs/>
                <w:color w:val="FFFFFF"/>
                <w:sz w:val="21"/>
                <w:szCs w:val="21"/>
              </w:rPr>
              <w:t xml:space="preserve">Key Metrics</w:t>
            </w:r>
          </w:p>
        </w:tc>
      </w:tr>
      <w:tr>
        <w:trPr>
          <w:cantSplit/>
        </w:trPr>
        <w:tc>
          <w:tcPr>
            <w:tcW w:type="pct" w:w="20%"/>
            <w:tcBorders>
              <w:top w:val="none"/>
              <w:left w:val="none"/>
              <w:bottom w:val="single" w:color="DDD0C8" w:sz="1"/>
              <w:right w:val="none"/>
            </w:tcBorders>
            <w:shd w:fill="F8F0EB" w:val="clear"/>
            <w:tcMar>
              <w:top w:type="dxa" w:w="60"/>
              <w:left w:type="dxa" w:w="120"/>
              <w:bottom w:type="dxa" w:w="60"/>
              <w:right w:type="dxa" w:w="120"/>
            </w:tcMar>
          </w:tcPr>
          <w:p>
            <w:r>
              <w:rPr>
                <w:rFonts w:ascii="Calibri"/>
                <w:color w:val="000000"/>
                <w:sz w:val="21"/>
                <w:szCs w:val="21"/>
              </w:rPr>
              <w:t xml:space="preserve">Welcome Series</w:t>
            </w:r>
          </w:p>
        </w:tc>
        <w:tc>
          <w:tcPr>
            <w:tcW w:type="pct" w:w="20%"/>
            <w:tcBorders>
              <w:top w:val="none"/>
              <w:left w:val="none"/>
              <w:bottom w:val="single" w:color="DDD0C8" w:sz="1"/>
              <w:right w:val="none"/>
            </w:tcBorders>
            <w:shd w:fill="F8F0EB" w:val="clear"/>
            <w:tcMar>
              <w:top w:type="dxa" w:w="60"/>
              <w:left w:type="dxa" w:w="120"/>
              <w:bottom w:type="dxa" w:w="60"/>
              <w:right w:type="dxa" w:w="120"/>
            </w:tcMar>
          </w:tcPr>
          <w:p>
            <w:r>
              <w:rPr>
                <w:rFonts w:ascii="Calibri"/>
                <w:color w:val="000000"/>
                <w:sz w:val="21"/>
                <w:szCs w:val="21"/>
              </w:rPr>
              <w:t xml:space="preserve">New registration</w:t>
            </w:r>
          </w:p>
        </w:tc>
        <w:tc>
          <w:tcPr>
            <w:tcW w:type="pct" w:w="20%"/>
            <w:tcBorders>
              <w:top w:val="none"/>
              <w:left w:val="none"/>
              <w:bottom w:val="single" w:color="DDD0C8" w:sz="1"/>
              <w:right w:val="none"/>
            </w:tcBorders>
            <w:shd w:fill="F8F0EB" w:val="clear"/>
            <w:tcMar>
              <w:top w:type="dxa" w:w="60"/>
              <w:left w:type="dxa" w:w="120"/>
              <w:bottom w:type="dxa" w:w="60"/>
              <w:right w:type="dxa" w:w="120"/>
            </w:tcMar>
          </w:tcPr>
          <w:p>
            <w:r>
              <w:rPr>
                <w:rFonts w:ascii="Calibri"/>
                <w:color w:val="000000"/>
                <w:sz w:val="21"/>
                <w:szCs w:val="21"/>
              </w:rPr>
              <w:t xml:space="preserve">5 emails over 14 days</w:t>
            </w:r>
          </w:p>
        </w:tc>
        <w:tc>
          <w:tcPr>
            <w:tcW w:type="pct" w:w="20%"/>
            <w:tcBorders>
              <w:top w:val="none"/>
              <w:left w:val="none"/>
              <w:bottom w:val="single" w:color="DDD0C8" w:sz="1"/>
              <w:right w:val="none"/>
            </w:tcBorders>
            <w:shd w:fill="F8F0EB" w:val="clear"/>
            <w:tcMar>
              <w:top w:type="dxa" w:w="60"/>
              <w:left w:type="dxa" w:w="120"/>
              <w:bottom w:type="dxa" w:w="60"/>
              <w:right w:type="dxa" w:w="120"/>
            </w:tcMar>
          </w:tcPr>
          <w:p>
            <w:r>
              <w:rPr>
                <w:rFonts w:ascii="Calibri"/>
                <w:color w:val="000000"/>
                <w:sz w:val="21"/>
                <w:szCs w:val="21"/>
              </w:rPr>
              <w:t xml:space="preserve">Product activation</w:t>
            </w:r>
          </w:p>
        </w:tc>
        <w:tc>
          <w:tcPr>
            <w:tcW w:type="pct" w:w="20%"/>
            <w:tcBorders>
              <w:top w:val="none"/>
              <w:left w:val="none"/>
              <w:bottom w:val="single" w:color="DDD0C8" w:sz="1"/>
              <w:right w:val="none"/>
            </w:tcBorders>
            <w:shd w:fill="F8F0EB" w:val="clear"/>
            <w:tcMar>
              <w:top w:type="dxa" w:w="60"/>
              <w:left w:type="dxa" w:w="120"/>
              <w:bottom w:type="dxa" w:w="60"/>
              <w:right w:type="dxa" w:w="120"/>
            </w:tcMar>
          </w:tcPr>
          <w:p>
            <w:r>
              <w:rPr>
                <w:rFonts w:ascii="Calibri"/>
                <w:color w:val="000000"/>
                <w:sz w:val="21"/>
                <w:szCs w:val="21"/>
              </w:rPr>
              <w:t xml:space="preserve">Open rate &gt; 45%, click rate &gt; 15%</w:t>
            </w:r>
          </w:p>
        </w:tc>
      </w:tr>
      <w:tr>
        <w:trPr>
          <w:cantSplit/>
        </w:trPr>
        <w:tc>
          <w:tcPr>
            <w:tcW w:type="pct" w:w="20%"/>
            <w:tcBorders>
              <w:top w:val="none"/>
              <w:left w:val="none"/>
              <w:bottom w:val="single" w:color="DDD0C8" w:sz="1"/>
              <w:right w:val="none"/>
            </w:tcBorders>
            <w:shd w:fill="FFFFFF" w:val="clear"/>
            <w:tcMar>
              <w:top w:type="dxa" w:w="60"/>
              <w:left w:type="dxa" w:w="120"/>
              <w:bottom w:type="dxa" w:w="60"/>
              <w:right w:type="dxa" w:w="120"/>
            </w:tcMar>
          </w:tcPr>
          <w:p>
            <w:r>
              <w:rPr>
                <w:rFonts w:ascii="Calibri"/>
                <w:color w:val="000000"/>
                <w:sz w:val="21"/>
                <w:szCs w:val="21"/>
              </w:rPr>
              <w:t xml:space="preserve">Educational Nurture</w:t>
            </w:r>
          </w:p>
        </w:tc>
        <w:tc>
          <w:tcPr>
            <w:tcW w:type="pct" w:w="20%"/>
            <w:tcBorders>
              <w:top w:val="none"/>
              <w:left w:val="none"/>
              <w:bottom w:val="single" w:color="DDD0C8" w:sz="1"/>
              <w:right w:val="none"/>
            </w:tcBorders>
            <w:shd w:fill="FFFFFF" w:val="clear"/>
            <w:tcMar>
              <w:top w:type="dxa" w:w="60"/>
              <w:left w:type="dxa" w:w="120"/>
              <w:bottom w:type="dxa" w:w="60"/>
              <w:right w:type="dxa" w:w="120"/>
            </w:tcMar>
          </w:tcPr>
          <w:p>
            <w:r>
              <w:rPr>
                <w:rFonts w:ascii="Calibri"/>
                <w:color w:val="000000"/>
                <w:sz w:val="21"/>
                <w:szCs w:val="21"/>
              </w:rPr>
              <w:t xml:space="preserve">Inactive after 7 days</w:t>
            </w:r>
          </w:p>
        </w:tc>
        <w:tc>
          <w:tcPr>
            <w:tcW w:type="pct" w:w="20%"/>
            <w:tcBorders>
              <w:top w:val="none"/>
              <w:left w:val="none"/>
              <w:bottom w:val="single" w:color="DDD0C8" w:sz="1"/>
              <w:right w:val="none"/>
            </w:tcBorders>
            <w:shd w:fill="FFFFFF" w:val="clear"/>
            <w:tcMar>
              <w:top w:type="dxa" w:w="60"/>
              <w:left w:type="dxa" w:w="120"/>
              <w:bottom w:type="dxa" w:w="60"/>
              <w:right w:type="dxa" w:w="120"/>
            </w:tcMar>
          </w:tcPr>
          <w:p>
            <w:r>
              <w:rPr>
                <w:rFonts w:ascii="Calibri"/>
                <w:color w:val="000000"/>
                <w:sz w:val="21"/>
                <w:szCs w:val="21"/>
              </w:rPr>
              <w:t xml:space="preserve">Weekly for 8 weeks</w:t>
            </w:r>
          </w:p>
        </w:tc>
        <w:tc>
          <w:tcPr>
            <w:tcW w:type="pct" w:w="20%"/>
            <w:tcBorders>
              <w:top w:val="none"/>
              <w:left w:val="none"/>
              <w:bottom w:val="single" w:color="DDD0C8" w:sz="1"/>
              <w:right w:val="none"/>
            </w:tcBorders>
            <w:shd w:fill="FFFFFF" w:val="clear"/>
            <w:tcMar>
              <w:top w:type="dxa" w:w="60"/>
              <w:left w:type="dxa" w:w="120"/>
              <w:bottom w:type="dxa" w:w="60"/>
              <w:right w:type="dxa" w:w="120"/>
            </w:tcMar>
          </w:tcPr>
          <w:p>
            <w:r>
              <w:rPr>
                <w:rFonts w:ascii="Calibri"/>
                <w:color w:val="000000"/>
                <w:sz w:val="21"/>
                <w:szCs w:val="21"/>
              </w:rPr>
              <w:t xml:space="preserve">Feature discovery</w:t>
            </w:r>
          </w:p>
        </w:tc>
        <w:tc>
          <w:tcPr>
            <w:tcW w:type="pct" w:w="20%"/>
            <w:tcBorders>
              <w:top w:val="none"/>
              <w:left w:val="none"/>
              <w:bottom w:val="single" w:color="DDD0C8" w:sz="1"/>
              <w:right w:val="none"/>
            </w:tcBorders>
            <w:shd w:fill="FFFFFF" w:val="clear"/>
            <w:tcMar>
              <w:top w:type="dxa" w:w="60"/>
              <w:left w:type="dxa" w:w="120"/>
              <w:bottom w:type="dxa" w:w="60"/>
              <w:right w:type="dxa" w:w="120"/>
            </w:tcMar>
          </w:tcPr>
          <w:p>
            <w:r>
              <w:rPr>
                <w:rFonts w:ascii="Calibri"/>
                <w:color w:val="000000"/>
                <w:sz w:val="21"/>
                <w:szCs w:val="21"/>
              </w:rPr>
              <w:t xml:space="preserve">Feature adoption rate</w:t>
            </w:r>
          </w:p>
        </w:tc>
      </w:tr>
      <w:tr>
        <w:trPr>
          <w:cantSplit/>
        </w:trPr>
        <w:tc>
          <w:tcPr>
            <w:tcW w:type="pct" w:w="20%"/>
            <w:tcBorders>
              <w:top w:val="none"/>
              <w:left w:val="none"/>
              <w:bottom w:val="single" w:color="DDD0C8" w:sz="1"/>
              <w:right w:val="none"/>
            </w:tcBorders>
            <w:shd w:fill="F8F0EB" w:val="clear"/>
            <w:tcMar>
              <w:top w:type="dxa" w:w="60"/>
              <w:left w:type="dxa" w:w="120"/>
              <w:bottom w:type="dxa" w:w="60"/>
              <w:right w:type="dxa" w:w="120"/>
            </w:tcMar>
          </w:tcPr>
          <w:p>
            <w:r>
              <w:rPr>
                <w:rFonts w:ascii="Calibri"/>
                <w:color w:val="000000"/>
                <w:sz w:val="21"/>
                <w:szCs w:val="21"/>
              </w:rPr>
              <w:t xml:space="preserve">Benchmark Updates</w:t>
            </w:r>
          </w:p>
        </w:tc>
        <w:tc>
          <w:tcPr>
            <w:tcW w:type="pct" w:w="20%"/>
            <w:tcBorders>
              <w:top w:val="none"/>
              <w:left w:val="none"/>
              <w:bottom w:val="single" w:color="DDD0C8" w:sz="1"/>
              <w:right w:val="none"/>
            </w:tcBorders>
            <w:shd w:fill="F8F0EB" w:val="clear"/>
            <w:tcMar>
              <w:top w:type="dxa" w:w="60"/>
              <w:left w:type="dxa" w:w="120"/>
              <w:bottom w:type="dxa" w:w="60"/>
              <w:right w:type="dxa" w:w="120"/>
            </w:tcMar>
          </w:tcPr>
          <w:p>
            <w:r>
              <w:rPr>
                <w:rFonts w:ascii="Calibri"/>
                <w:color w:val="000000"/>
                <w:sz w:val="21"/>
                <w:szCs w:val="21"/>
              </w:rPr>
              <w:t xml:space="preserve">Monthly subscription</w:t>
            </w:r>
          </w:p>
        </w:tc>
        <w:tc>
          <w:tcPr>
            <w:tcW w:type="pct" w:w="20%"/>
            <w:tcBorders>
              <w:top w:val="none"/>
              <w:left w:val="none"/>
              <w:bottom w:val="single" w:color="DDD0C8" w:sz="1"/>
              <w:right w:val="none"/>
            </w:tcBorders>
            <w:shd w:fill="F8F0EB" w:val="clear"/>
            <w:tcMar>
              <w:top w:type="dxa" w:w="60"/>
              <w:left w:type="dxa" w:w="120"/>
              <w:bottom w:type="dxa" w:w="60"/>
              <w:right w:type="dxa" w:w="120"/>
            </w:tcMar>
          </w:tcPr>
          <w:p>
            <w:r>
              <w:rPr>
                <w:rFonts w:ascii="Calibri"/>
                <w:color w:val="000000"/>
                <w:sz w:val="21"/>
                <w:szCs w:val="21"/>
              </w:rPr>
              <w:t xml:space="preserve">Monthly newsletter</w:t>
            </w:r>
          </w:p>
        </w:tc>
        <w:tc>
          <w:tcPr>
            <w:tcW w:type="pct" w:w="20%"/>
            <w:tcBorders>
              <w:top w:val="none"/>
              <w:left w:val="none"/>
              <w:bottom w:val="single" w:color="DDD0C8" w:sz="1"/>
              <w:right w:val="none"/>
            </w:tcBorders>
            <w:shd w:fill="F8F0EB" w:val="clear"/>
            <w:tcMar>
              <w:top w:type="dxa" w:w="60"/>
              <w:left w:type="dxa" w:w="120"/>
              <w:bottom w:type="dxa" w:w="60"/>
              <w:right w:type="dxa" w:w="120"/>
            </w:tcMar>
          </w:tcPr>
          <w:p>
            <w:r>
              <w:rPr>
                <w:rFonts w:ascii="Calibri"/>
                <w:color w:val="000000"/>
                <w:sz w:val="21"/>
                <w:szCs w:val="21"/>
              </w:rPr>
              <w:t xml:space="preserve">Engagement, retention</w:t>
            </w:r>
          </w:p>
        </w:tc>
        <w:tc>
          <w:tcPr>
            <w:tcW w:type="pct" w:w="20%"/>
            <w:tcBorders>
              <w:top w:val="none"/>
              <w:left w:val="none"/>
              <w:bottom w:val="single" w:color="DDD0C8" w:sz="1"/>
              <w:right w:val="none"/>
            </w:tcBorders>
            <w:shd w:fill="F8F0EB" w:val="clear"/>
            <w:tcMar>
              <w:top w:type="dxa" w:w="60"/>
              <w:left w:type="dxa" w:w="120"/>
              <w:bottom w:type="dxa" w:w="60"/>
              <w:right w:type="dxa" w:w="120"/>
            </w:tcMar>
          </w:tcPr>
          <w:p>
            <w:r>
              <w:rPr>
                <w:rFonts w:ascii="Calibri"/>
                <w:color w:val="000000"/>
                <w:sz w:val="21"/>
                <w:szCs w:val="21"/>
              </w:rPr>
              <w:t xml:space="preserve">Open rate &gt; 35%, unsubscribe &lt; 0.5%</w:t>
            </w:r>
          </w:p>
        </w:tc>
      </w:tr>
      <w:tr>
        <w:trPr>
          <w:cantSplit/>
        </w:trPr>
        <w:tc>
          <w:tcPr>
            <w:tcW w:type="pct" w:w="20%"/>
            <w:tcBorders>
              <w:top w:val="none"/>
              <w:left w:val="none"/>
              <w:bottom w:val="single" w:color="DDD0C8" w:sz="1"/>
              <w:right w:val="none"/>
            </w:tcBorders>
            <w:shd w:fill="FFFFFF" w:val="clear"/>
            <w:tcMar>
              <w:top w:type="dxa" w:w="60"/>
              <w:left w:type="dxa" w:w="120"/>
              <w:bottom w:type="dxa" w:w="60"/>
              <w:right w:type="dxa" w:w="120"/>
            </w:tcMar>
          </w:tcPr>
          <w:p>
            <w:r>
              <w:rPr>
                <w:rFonts w:ascii="Calibri"/>
                <w:color w:val="000000"/>
                <w:sz w:val="21"/>
                <w:szCs w:val="21"/>
              </w:rPr>
              <w:t xml:space="preserve">Upgrade Sequence</w:t>
            </w:r>
          </w:p>
        </w:tc>
        <w:tc>
          <w:tcPr>
            <w:tcW w:type="pct" w:w="20%"/>
            <w:tcBorders>
              <w:top w:val="none"/>
              <w:left w:val="none"/>
              <w:bottom w:val="single" w:color="DDD0C8" w:sz="1"/>
              <w:right w:val="none"/>
            </w:tcBorders>
            <w:shd w:fill="FFFFFF" w:val="clear"/>
            <w:tcMar>
              <w:top w:type="dxa" w:w="60"/>
              <w:left w:type="dxa" w:w="120"/>
              <w:bottom w:type="dxa" w:w="60"/>
              <w:right w:type="dxa" w:w="120"/>
            </w:tcMar>
          </w:tcPr>
          <w:p>
            <w:r>
              <w:rPr>
                <w:rFonts w:ascii="Calibri"/>
                <w:color w:val="000000"/>
                <w:sz w:val="21"/>
                <w:szCs w:val="21"/>
              </w:rPr>
              <w:t xml:space="preserve">Free tier usage limit hit</w:t>
            </w:r>
          </w:p>
        </w:tc>
        <w:tc>
          <w:tcPr>
            <w:tcW w:type="pct" w:w="20%"/>
            <w:tcBorders>
              <w:top w:val="none"/>
              <w:left w:val="none"/>
              <w:bottom w:val="single" w:color="DDD0C8" w:sz="1"/>
              <w:right w:val="none"/>
            </w:tcBorders>
            <w:shd w:fill="FFFFFF" w:val="clear"/>
            <w:tcMar>
              <w:top w:type="dxa" w:w="60"/>
              <w:left w:type="dxa" w:w="120"/>
              <w:bottom w:type="dxa" w:w="60"/>
              <w:right w:type="dxa" w:w="120"/>
            </w:tcMar>
          </w:tcPr>
          <w:p>
            <w:r>
              <w:rPr>
                <w:rFonts w:ascii="Calibri"/>
                <w:color w:val="000000"/>
                <w:sz w:val="21"/>
                <w:szCs w:val="21"/>
              </w:rPr>
              <w:t xml:space="preserve">3 emails over 7 days</w:t>
            </w:r>
          </w:p>
        </w:tc>
        <w:tc>
          <w:tcPr>
            <w:tcW w:type="pct" w:w="20%"/>
            <w:tcBorders>
              <w:top w:val="none"/>
              <w:left w:val="none"/>
              <w:bottom w:val="single" w:color="DDD0C8" w:sz="1"/>
              <w:right w:val="none"/>
            </w:tcBorders>
            <w:shd w:fill="FFFFFF" w:val="clear"/>
            <w:tcMar>
              <w:top w:type="dxa" w:w="60"/>
              <w:left w:type="dxa" w:w="120"/>
              <w:bottom w:type="dxa" w:w="60"/>
              <w:right w:type="dxa" w:w="120"/>
            </w:tcMar>
          </w:tcPr>
          <w:p>
            <w:r>
              <w:rPr>
                <w:rFonts w:ascii="Calibri"/>
                <w:color w:val="000000"/>
                <w:sz w:val="21"/>
                <w:szCs w:val="21"/>
              </w:rPr>
              <w:t xml:space="preserve">Pro conversion</w:t>
            </w:r>
          </w:p>
        </w:tc>
        <w:tc>
          <w:tcPr>
            <w:tcW w:type="pct" w:w="20%"/>
            <w:tcBorders>
              <w:top w:val="none"/>
              <w:left w:val="none"/>
              <w:bottom w:val="single" w:color="DDD0C8" w:sz="1"/>
              <w:right w:val="none"/>
            </w:tcBorders>
            <w:shd w:fill="FFFFFF" w:val="clear"/>
            <w:tcMar>
              <w:top w:type="dxa" w:w="60"/>
              <w:left w:type="dxa" w:w="120"/>
              <w:bottom w:type="dxa" w:w="60"/>
              <w:right w:type="dxa" w:w="120"/>
            </w:tcMar>
          </w:tcPr>
          <w:p>
            <w:r>
              <w:rPr>
                <w:rFonts w:ascii="Calibri"/>
                <w:color w:val="000000"/>
                <w:sz w:val="21"/>
                <w:szCs w:val="21"/>
              </w:rPr>
              <w:t xml:space="preserve">Conversion rate &gt; 5%</w:t>
            </w:r>
          </w:p>
        </w:tc>
      </w:tr>
      <w:tr>
        <w:trPr>
          <w:cantSplit/>
        </w:trPr>
        <w:tc>
          <w:tcPr>
            <w:tcW w:type="pct" w:w="20%"/>
            <w:tcBorders>
              <w:top w:val="none"/>
              <w:left w:val="none"/>
              <w:bottom w:val="single" w:color="DDD0C8" w:sz="1"/>
              <w:right w:val="none"/>
            </w:tcBorders>
            <w:shd w:fill="F8F0EB" w:val="clear"/>
            <w:tcMar>
              <w:top w:type="dxa" w:w="60"/>
              <w:left w:type="dxa" w:w="120"/>
              <w:bottom w:type="dxa" w:w="60"/>
              <w:right w:type="dxa" w:w="120"/>
            </w:tcMar>
          </w:tcPr>
          <w:p>
            <w:r>
              <w:rPr>
                <w:rFonts w:ascii="Calibri"/>
                <w:color w:val="000000"/>
                <w:sz w:val="21"/>
                <w:szCs w:val="21"/>
              </w:rPr>
              <w:t xml:space="preserve">Win-back Campaign</w:t>
            </w:r>
          </w:p>
        </w:tc>
        <w:tc>
          <w:tcPr>
            <w:tcW w:type="pct" w:w="20%"/>
            <w:tcBorders>
              <w:top w:val="none"/>
              <w:left w:val="none"/>
              <w:bottom w:val="single" w:color="DDD0C8" w:sz="1"/>
              <w:right w:val="none"/>
            </w:tcBorders>
            <w:shd w:fill="F8F0EB" w:val="clear"/>
            <w:tcMar>
              <w:top w:type="dxa" w:w="60"/>
              <w:left w:type="dxa" w:w="120"/>
              <w:bottom w:type="dxa" w:w="60"/>
              <w:right w:type="dxa" w:w="120"/>
            </w:tcMar>
          </w:tcPr>
          <w:p>
            <w:r>
              <w:rPr>
                <w:rFonts w:ascii="Calibri"/>
                <w:color w:val="000000"/>
                <w:sz w:val="21"/>
                <w:szCs w:val="21"/>
              </w:rPr>
              <w:t xml:space="preserve">No activity in 30 days</w:t>
            </w:r>
          </w:p>
        </w:tc>
        <w:tc>
          <w:tcPr>
            <w:tcW w:type="pct" w:w="20%"/>
            <w:tcBorders>
              <w:top w:val="none"/>
              <w:left w:val="none"/>
              <w:bottom w:val="single" w:color="DDD0C8" w:sz="1"/>
              <w:right w:val="none"/>
            </w:tcBorders>
            <w:shd w:fill="F8F0EB" w:val="clear"/>
            <w:tcMar>
              <w:top w:type="dxa" w:w="60"/>
              <w:left w:type="dxa" w:w="120"/>
              <w:bottom w:type="dxa" w:w="60"/>
              <w:right w:type="dxa" w:w="120"/>
            </w:tcMar>
          </w:tcPr>
          <w:p>
            <w:r>
              <w:rPr>
                <w:rFonts w:ascii="Calibri"/>
                <w:color w:val="000000"/>
                <w:sz w:val="21"/>
                <w:szCs w:val="21"/>
              </w:rPr>
              <w:t xml:space="preserve">3 emails over 21 days</w:t>
            </w:r>
          </w:p>
        </w:tc>
        <w:tc>
          <w:tcPr>
            <w:tcW w:type="pct" w:w="20%"/>
            <w:tcBorders>
              <w:top w:val="none"/>
              <w:left w:val="none"/>
              <w:bottom w:val="single" w:color="DDD0C8" w:sz="1"/>
              <w:right w:val="none"/>
            </w:tcBorders>
            <w:shd w:fill="F8F0EB" w:val="clear"/>
            <w:tcMar>
              <w:top w:type="dxa" w:w="60"/>
              <w:left w:type="dxa" w:w="120"/>
              <w:bottom w:type="dxa" w:w="60"/>
              <w:right w:type="dxa" w:w="120"/>
            </w:tcMar>
          </w:tcPr>
          <w:p>
            <w:r>
              <w:rPr>
                <w:rFonts w:ascii="Calibri"/>
                <w:color w:val="000000"/>
                <w:sz w:val="21"/>
                <w:szCs w:val="21"/>
              </w:rPr>
              <w:t xml:space="preserve">Re-engagement</w:t>
            </w:r>
          </w:p>
        </w:tc>
        <w:tc>
          <w:tcPr>
            <w:tcW w:type="pct" w:w="20%"/>
            <w:tcBorders>
              <w:top w:val="none"/>
              <w:left w:val="none"/>
              <w:bottom w:val="single" w:color="DDD0C8" w:sz="1"/>
              <w:right w:val="none"/>
            </w:tcBorders>
            <w:shd w:fill="F8F0EB" w:val="clear"/>
            <w:tcMar>
              <w:top w:type="dxa" w:w="60"/>
              <w:left w:type="dxa" w:w="120"/>
              <w:bottom w:type="dxa" w:w="60"/>
              <w:right w:type="dxa" w:w="120"/>
            </w:tcMar>
          </w:tcPr>
          <w:p>
            <w:r>
              <w:rPr>
                <w:rFonts w:ascii="Calibri"/>
                <w:color w:val="000000"/>
                <w:sz w:val="21"/>
                <w:szCs w:val="21"/>
              </w:rPr>
              <w:t xml:space="preserve">Reactivation rate &gt; 10%</w:t>
            </w:r>
          </w:p>
        </w:tc>
      </w:tr>
    </w:tbl>
    <w:p>
      <w:pPr>
        <w:spacing w:after="60" w:before="60"/>
      </w:pPr>
    </w:p>
    <w:p>
      <w:pPr>
        <w:pStyle w:val="Heading3"/>
        <w:spacing w:after="100" w:before="200" w:line="312"/>
      </w:pPr>
      <w:bookmarkStart w:id="100020" w:name="_Toc100020"/>
      <w:r>
        <w:rPr>
          <w:rFonts w:ascii="Times New Roman"/>
          <w:b/>
          <w:bCs/>
          <w:color w:val="0B1220"/>
          <w:sz w:val="24"/>
          <w:szCs w:val="24"/>
        </w:rPr>
        <w:t xml:space="preserve">3.4.2 Personalization &amp; Segmentation</w:t>
      </w:r>
      <w:bookmarkEnd w:id="100020"/>
    </w:p>
    <w:p>
      <w:pPr>
        <w:spacing w:after="120" w:line="312"/>
        <w:ind w:firstLine="480"/>
        <w:jc w:val="both"/>
      </w:pPr>
      <w:r>
        <w:rPr>
          <w:rFonts w:ascii="Times New Roman"/>
          <w:color w:val="000000"/>
          <w:sz w:val="24"/>
          <w:szCs w:val="24"/>
        </w:rPr>
        <w:t xml:space="preserve">Email personalization will go beyond simply inserting the recipient's first name. Using the platform's existing data on user type (Researcher, Student, Professional, Enterprise, Developer, Educator, General), behavior patterns (which features they use most, which benchmarks they view, how often they visit), and engagement history (email opens, clicks, content consumed), the email system will deliver dynamically personalized content recommendations, benchmark update alerts tailored to the models they follow, and upgrade prompts timed to their usage patterns. For example, a researcher who frequently compares Claude and GPT-4o would receive an email when new benchmark data for those models is published, along with a suggested analysis template in the workspace.</w:t>
      </w:r>
    </w:p>
    <w:p>
      <w:pPr>
        <w:spacing w:after="120" w:line="312"/>
        <w:ind w:firstLine="480"/>
        <w:jc w:val="both"/>
      </w:pPr>
      <w:r>
        <w:rPr>
          <w:rFonts w:ascii="Times New Roman"/>
          <w:color w:val="000000"/>
          <w:sz w:val="24"/>
          <w:szCs w:val="24"/>
        </w:rPr>
        <w:t xml:space="preserve">Segmentation will also drive differentiated messaging for enterprise prospects versus individual users. Enterprise leads (identified by company domain, job title signals, or ABM account matching) will receive a separate email track featuring case studies, ROI calculators, security and compliance information, and invitations to private demos or consultations with the sales team. Individual users will receive more product-focused content highlighting features relevant to their use case, community highlights, and tips for getting the most value from the free tier.</w:t>
      </w:r>
    </w:p>
    <w:p>
      <w:pPr>
        <w:pStyle w:val="Heading2"/>
        <w:spacing w:after="120" w:before="280" w:line="312"/>
      </w:pPr>
      <w:bookmarkStart w:id="100021" w:name="_Toc100021"/>
      <w:r>
        <w:rPr>
          <w:rFonts w:ascii="Times New Roman"/>
          <w:b/>
          <w:bCs/>
          <w:color w:val="0B1220"/>
          <w:sz w:val="28"/>
          <w:szCs w:val="28"/>
        </w:rPr>
        <w:t xml:space="preserve">3.5 Marketing Automation</w:t>
      </w:r>
      <w:bookmarkEnd w:id="100021"/>
    </w:p>
    <w:p>
      <w:pPr>
        <w:pStyle w:val="Heading3"/>
        <w:spacing w:after="100" w:before="200" w:line="312"/>
      </w:pPr>
      <w:bookmarkStart w:id="100022" w:name="_Toc100022"/>
      <w:r>
        <w:rPr>
          <w:rFonts w:ascii="Times New Roman"/>
          <w:b/>
          <w:bCs/>
          <w:color w:val="0B1220"/>
          <w:sz w:val="24"/>
          <w:szCs w:val="24"/>
        </w:rPr>
        <w:t xml:space="preserve">3.5.1 Automation Infrastructure</w:t>
      </w:r>
      <w:bookmarkEnd w:id="100022"/>
    </w:p>
    <w:p>
      <w:pPr>
        <w:spacing w:after="120" w:line="312"/>
        <w:ind w:firstLine="480"/>
        <w:jc w:val="both"/>
      </w:pPr>
      <w:r>
        <w:rPr>
          <w:rFonts w:ascii="Times New Roman"/>
          <w:color w:val="000000"/>
          <w:sz w:val="24"/>
          <w:szCs w:val="24"/>
        </w:rPr>
        <w:t xml:space="preserve">Marketing automation will transform manual marketing operations into scalable, data-driven systems that deliver the right message to the right user at the right time. The automation infrastructure should be built on a modern marketing automation platform (such as HubSpot, Marketo, or Customer.io) integrated with the platform's existing analytics, billing, and user management systems through API connections and webhook integrations.</w:t>
      </w:r>
    </w:p>
    <w:p>
      <w:pPr>
        <w:spacing w:after="120" w:line="312"/>
        <w:ind w:firstLine="480"/>
        <w:jc w:val="both"/>
      </w:pPr>
      <w:r>
        <w:rPr>
          <w:rFonts w:ascii="Times New Roman"/>
          <w:color w:val="000000"/>
          <w:sz w:val="24"/>
          <w:szCs w:val="24"/>
        </w:rPr>
        <w:t xml:space="preserve">The core automation workflows include: a lead scoring model that assigns points based on demographic fit (job title, company size, industry) and behavioral signals (pages visited, features used, content consumed, email engagement), with scores dynamically updated as new data becomes available; a behavioral trigger system that launches targeted campaigns when users perform specific actions like viewing the pricing page three times, hitting the free tier API limit, or abandoning the registration form; and a lifecycle management system that automatically transitions users between lifecycle stages (visitor, lead, activated user, engaged user, at-risk user, churned user) and triggers appropriate interventions at each stage transition.</w:t>
      </w:r>
    </w:p>
    <w:p>
      <w:pPr>
        <w:pStyle w:val="Heading3"/>
        <w:spacing w:after="100" w:before="200" w:line="312"/>
      </w:pPr>
      <w:bookmarkStart w:id="100023" w:name="_Toc100023"/>
      <w:r>
        <w:rPr>
          <w:rFonts w:ascii="Times New Roman"/>
          <w:b/>
          <w:bCs/>
          <w:color w:val="0B1220"/>
          <w:sz w:val="24"/>
          <w:szCs w:val="24"/>
        </w:rPr>
        <w:t xml:space="preserve">3.5.2 Lead Scoring Model</w:t>
      </w:r>
      <w:bookmarkEnd w:id="100023"/>
    </w:p>
    <w:p>
      <w:pPr>
        <w:keepNext/>
        <w:spacing w:after="80" w:before="200" w:line="312"/>
      </w:pPr>
      <w:r>
        <w:rPr>
          <w:rFonts w:ascii="Times New Roman"/>
          <w:b/>
          <w:bCs/>
          <w:color w:val="506070"/>
          <w:sz w:val="21"/>
          <w:szCs w:val="21"/>
        </w:rPr>
        <w:t xml:space="preserve">Table 5: Lead Scoring Model</w:t>
      </w:r>
    </w:p>
    <w:tbl>
      <w:tblPr>
        <w:tblW w:type="pct" w:w="100%"/>
        <w:tblBorders>
          <w:top w:val="single" w:color="D4875A" w:sz="2"/>
          <w:left w:val="none"/>
          <w:bottom w:val="single" w:color="D4875A" w:sz="2"/>
          <w:right w:val="none"/>
          <w:insideH w:val="single" w:color="DDD0C8" w:sz="1"/>
          <w:insideV w:val="none"/>
        </w:tblBorders>
        <w:tblLayout w:type="fixed"/>
      </w:tblPr>
      <w:tblGrid>
        <w:gridCol w:w="100"/>
        <w:gridCol w:w="100"/>
        <w:gridCol w:w="100"/>
        <w:gridCol w:w="100"/>
      </w:tblGrid>
      <w:tr>
        <w:trPr>
          <w:cantSplit/>
          <w:tblHeader/>
        </w:trPr>
        <w:tc>
          <w:tcPr>
            <w:tcW w:type="pct" w:w="25%"/>
            <w:tcBorders>
              <w:top w:val="none"/>
              <w:left w:val="none"/>
              <w:bottom w:val="single" w:color="D4875A" w:sz="2"/>
              <w:right w:val="none"/>
            </w:tcBorders>
            <w:shd w:fill="D4875A" w:val="clear"/>
            <w:tcMar>
              <w:top w:type="dxa" w:w="60"/>
              <w:left w:type="dxa" w:w="120"/>
              <w:bottom w:type="dxa" w:w="60"/>
              <w:right w:type="dxa" w:w="120"/>
            </w:tcMar>
          </w:tcPr>
          <w:p>
            <w:r>
              <w:rPr>
                <w:rFonts w:ascii="Calibri"/>
                <w:b/>
                <w:bCs/>
                <w:color w:val="FFFFFF"/>
                <w:sz w:val="21"/>
                <w:szCs w:val="21"/>
              </w:rPr>
              <w:t xml:space="preserve">Signal Category</w:t>
            </w:r>
          </w:p>
        </w:tc>
        <w:tc>
          <w:tcPr>
            <w:tcW w:type="pct" w:w="25%"/>
            <w:tcBorders>
              <w:top w:val="none"/>
              <w:left w:val="none"/>
              <w:bottom w:val="single" w:color="D4875A" w:sz="2"/>
              <w:right w:val="none"/>
            </w:tcBorders>
            <w:shd w:fill="D4875A" w:val="clear"/>
            <w:tcMar>
              <w:top w:type="dxa" w:w="60"/>
              <w:left w:type="dxa" w:w="120"/>
              <w:bottom w:type="dxa" w:w="60"/>
              <w:right w:type="dxa" w:w="120"/>
            </w:tcMar>
          </w:tcPr>
          <w:p>
            <w:r>
              <w:rPr>
                <w:rFonts w:ascii="Calibri"/>
                <w:b/>
                <w:bCs/>
                <w:color w:val="FFFFFF"/>
                <w:sz w:val="21"/>
                <w:szCs w:val="21"/>
              </w:rPr>
              <w:t xml:space="preserve">Action</w:t>
            </w:r>
          </w:p>
        </w:tc>
        <w:tc>
          <w:tcPr>
            <w:tcW w:type="pct" w:w="25%"/>
            <w:tcBorders>
              <w:top w:val="none"/>
              <w:left w:val="none"/>
              <w:bottom w:val="single" w:color="D4875A" w:sz="2"/>
              <w:right w:val="none"/>
            </w:tcBorders>
            <w:shd w:fill="D4875A" w:val="clear"/>
            <w:tcMar>
              <w:top w:type="dxa" w:w="60"/>
              <w:left w:type="dxa" w:w="120"/>
              <w:bottom w:type="dxa" w:w="60"/>
              <w:right w:type="dxa" w:w="120"/>
            </w:tcMar>
          </w:tcPr>
          <w:p>
            <w:r>
              <w:rPr>
                <w:rFonts w:ascii="Calibri"/>
                <w:b/>
                <w:bCs/>
                <w:color w:val="FFFFFF"/>
                <w:sz w:val="21"/>
                <w:szCs w:val="21"/>
              </w:rPr>
              <w:t xml:space="preserve">Points</w:t>
            </w:r>
          </w:p>
        </w:tc>
        <w:tc>
          <w:tcPr>
            <w:tcW w:type="pct" w:w="25%"/>
            <w:tcBorders>
              <w:top w:val="none"/>
              <w:left w:val="none"/>
              <w:bottom w:val="single" w:color="D4875A" w:sz="2"/>
              <w:right w:val="none"/>
            </w:tcBorders>
            <w:shd w:fill="D4875A" w:val="clear"/>
            <w:tcMar>
              <w:top w:type="dxa" w:w="60"/>
              <w:left w:type="dxa" w:w="120"/>
              <w:bottom w:type="dxa" w:w="60"/>
              <w:right w:type="dxa" w:w="120"/>
            </w:tcMar>
          </w:tcPr>
          <w:p>
            <w:r>
              <w:rPr>
                <w:rFonts w:ascii="Calibri"/>
                <w:b/>
                <w:bCs/>
                <w:color w:val="FFFFFF"/>
                <w:sz w:val="21"/>
                <w:szCs w:val="21"/>
              </w:rPr>
              <w:t xml:space="preserve">Rationale</w:t>
            </w:r>
          </w:p>
        </w:tc>
      </w:tr>
      <w:tr>
        <w:trPr>
          <w:cantSplit/>
        </w:trPr>
        <w:tc>
          <w:tcPr>
            <w:tcW w:type="pct" w:w="25%"/>
            <w:tcBorders>
              <w:top w:val="none"/>
              <w:left w:val="none"/>
              <w:bottom w:val="single" w:color="DDD0C8" w:sz="1"/>
              <w:right w:val="none"/>
            </w:tcBorders>
            <w:shd w:fill="F8F0EB" w:val="clear"/>
            <w:tcMar>
              <w:top w:type="dxa" w:w="60"/>
              <w:left w:type="dxa" w:w="120"/>
              <w:bottom w:type="dxa" w:w="60"/>
              <w:right w:type="dxa" w:w="120"/>
            </w:tcMar>
          </w:tcPr>
          <w:p>
            <w:r>
              <w:rPr>
                <w:rFonts w:ascii="Calibri"/>
                <w:color w:val="000000"/>
                <w:sz w:val="21"/>
                <w:szCs w:val="21"/>
              </w:rPr>
              <w:t xml:space="preserve">Demographic</w:t>
            </w:r>
          </w:p>
        </w:tc>
        <w:tc>
          <w:tcPr>
            <w:tcW w:type="pct" w:w="25%"/>
            <w:tcBorders>
              <w:top w:val="none"/>
              <w:left w:val="none"/>
              <w:bottom w:val="single" w:color="DDD0C8" w:sz="1"/>
              <w:right w:val="none"/>
            </w:tcBorders>
            <w:shd w:fill="F8F0EB" w:val="clear"/>
            <w:tcMar>
              <w:top w:type="dxa" w:w="60"/>
              <w:left w:type="dxa" w:w="120"/>
              <w:bottom w:type="dxa" w:w="60"/>
              <w:right w:type="dxa" w:w="120"/>
            </w:tcMar>
          </w:tcPr>
          <w:p>
            <w:r>
              <w:rPr>
                <w:rFonts w:ascii="Calibri"/>
                <w:color w:val="000000"/>
                <w:sz w:val="21"/>
                <w:szCs w:val="21"/>
              </w:rPr>
              <w:t xml:space="preserve">VP/C-level job title</w:t>
            </w:r>
          </w:p>
        </w:tc>
        <w:tc>
          <w:tcPr>
            <w:tcW w:type="pct" w:w="25%"/>
            <w:tcBorders>
              <w:top w:val="none"/>
              <w:left w:val="none"/>
              <w:bottom w:val="single" w:color="DDD0C8" w:sz="1"/>
              <w:right w:val="none"/>
            </w:tcBorders>
            <w:shd w:fill="F8F0EB" w:val="clear"/>
            <w:tcMar>
              <w:top w:type="dxa" w:w="60"/>
              <w:left w:type="dxa" w:w="120"/>
              <w:bottom w:type="dxa" w:w="60"/>
              <w:right w:type="dxa" w:w="120"/>
            </w:tcMar>
          </w:tcPr>
          <w:p>
            <w:r>
              <w:rPr>
                <w:rFonts w:ascii="Calibri"/>
                <w:color w:val="000000"/>
                <w:sz w:val="21"/>
                <w:szCs w:val="21"/>
              </w:rPr>
              <w:t xml:space="preserve">+20</w:t>
            </w:r>
          </w:p>
        </w:tc>
        <w:tc>
          <w:tcPr>
            <w:tcW w:type="pct" w:w="25%"/>
            <w:tcBorders>
              <w:top w:val="none"/>
              <w:left w:val="none"/>
              <w:bottom w:val="single" w:color="DDD0C8" w:sz="1"/>
              <w:right w:val="none"/>
            </w:tcBorders>
            <w:shd w:fill="F8F0EB" w:val="clear"/>
            <w:tcMar>
              <w:top w:type="dxa" w:w="60"/>
              <w:left w:type="dxa" w:w="120"/>
              <w:bottom w:type="dxa" w:w="60"/>
              <w:right w:type="dxa" w:w="120"/>
            </w:tcMar>
          </w:tcPr>
          <w:p>
            <w:r>
              <w:rPr>
                <w:rFonts w:ascii="Calibri"/>
                <w:color w:val="000000"/>
                <w:sz w:val="21"/>
                <w:szCs w:val="21"/>
              </w:rPr>
              <w:t xml:space="preserve">Enterprise decision-maker</w:t>
            </w:r>
          </w:p>
        </w:tc>
      </w:tr>
      <w:tr>
        <w:trPr>
          <w:cantSplit/>
        </w:trPr>
        <w:tc>
          <w:tcPr>
            <w:tcW w:type="pct" w:w="25%"/>
            <w:tcBorders>
              <w:top w:val="none"/>
              <w:left w:val="none"/>
              <w:bottom w:val="single" w:color="DDD0C8" w:sz="1"/>
              <w:right w:val="none"/>
            </w:tcBorders>
            <w:shd w:fill="FFFFFF" w:val="clear"/>
            <w:tcMar>
              <w:top w:type="dxa" w:w="60"/>
              <w:left w:type="dxa" w:w="120"/>
              <w:bottom w:type="dxa" w:w="60"/>
              <w:right w:type="dxa" w:w="120"/>
            </w:tcMar>
          </w:tcPr>
          <w:p>
            <w:r>
              <w:rPr>
                <w:rFonts w:ascii="Calibri"/>
                <w:color w:val="000000"/>
                <w:sz w:val="21"/>
                <w:szCs w:val="21"/>
              </w:rPr>
              <w:t xml:space="preserve">Demographic</w:t>
            </w:r>
          </w:p>
        </w:tc>
        <w:tc>
          <w:tcPr>
            <w:tcW w:type="pct" w:w="25%"/>
            <w:tcBorders>
              <w:top w:val="none"/>
              <w:left w:val="none"/>
              <w:bottom w:val="single" w:color="DDD0C8" w:sz="1"/>
              <w:right w:val="none"/>
            </w:tcBorders>
            <w:shd w:fill="FFFFFF" w:val="clear"/>
            <w:tcMar>
              <w:top w:type="dxa" w:w="60"/>
              <w:left w:type="dxa" w:w="120"/>
              <w:bottom w:type="dxa" w:w="60"/>
              <w:right w:type="dxa" w:w="120"/>
            </w:tcMar>
          </w:tcPr>
          <w:p>
            <w:r>
              <w:rPr>
                <w:rFonts w:ascii="Calibri"/>
                <w:color w:val="000000"/>
                <w:sz w:val="21"/>
                <w:szCs w:val="21"/>
              </w:rPr>
              <w:t xml:space="preserve">Company size 50+ employees</w:t>
            </w:r>
          </w:p>
        </w:tc>
        <w:tc>
          <w:tcPr>
            <w:tcW w:type="pct" w:w="25%"/>
            <w:tcBorders>
              <w:top w:val="none"/>
              <w:left w:val="none"/>
              <w:bottom w:val="single" w:color="DDD0C8" w:sz="1"/>
              <w:right w:val="none"/>
            </w:tcBorders>
            <w:shd w:fill="FFFFFF" w:val="clear"/>
            <w:tcMar>
              <w:top w:type="dxa" w:w="60"/>
              <w:left w:type="dxa" w:w="120"/>
              <w:bottom w:type="dxa" w:w="60"/>
              <w:right w:type="dxa" w:w="120"/>
            </w:tcMar>
          </w:tcPr>
          <w:p>
            <w:r>
              <w:rPr>
                <w:rFonts w:ascii="Calibri"/>
                <w:color w:val="000000"/>
                <w:sz w:val="21"/>
                <w:szCs w:val="21"/>
              </w:rPr>
              <w:t xml:space="preserve">+15</w:t>
            </w:r>
          </w:p>
        </w:tc>
        <w:tc>
          <w:tcPr>
            <w:tcW w:type="pct" w:w="25%"/>
            <w:tcBorders>
              <w:top w:val="none"/>
              <w:left w:val="none"/>
              <w:bottom w:val="single" w:color="DDD0C8" w:sz="1"/>
              <w:right w:val="none"/>
            </w:tcBorders>
            <w:shd w:fill="FFFFFF" w:val="clear"/>
            <w:tcMar>
              <w:top w:type="dxa" w:w="60"/>
              <w:left w:type="dxa" w:w="120"/>
              <w:bottom w:type="dxa" w:w="60"/>
              <w:right w:type="dxa" w:w="120"/>
            </w:tcMar>
          </w:tcPr>
          <w:p>
            <w:r>
              <w:rPr>
                <w:rFonts w:ascii="Calibri"/>
                <w:color w:val="000000"/>
                <w:sz w:val="21"/>
                <w:szCs w:val="21"/>
              </w:rPr>
              <w:t xml:space="preserve">Enterprise potential</w:t>
            </w:r>
          </w:p>
        </w:tc>
      </w:tr>
      <w:tr>
        <w:trPr>
          <w:cantSplit/>
        </w:trPr>
        <w:tc>
          <w:tcPr>
            <w:tcW w:type="pct" w:w="25%"/>
            <w:tcBorders>
              <w:top w:val="none"/>
              <w:left w:val="none"/>
              <w:bottom w:val="single" w:color="DDD0C8" w:sz="1"/>
              <w:right w:val="none"/>
            </w:tcBorders>
            <w:shd w:fill="F8F0EB" w:val="clear"/>
            <w:tcMar>
              <w:top w:type="dxa" w:w="60"/>
              <w:left w:type="dxa" w:w="120"/>
              <w:bottom w:type="dxa" w:w="60"/>
              <w:right w:type="dxa" w:w="120"/>
            </w:tcMar>
          </w:tcPr>
          <w:p>
            <w:r>
              <w:rPr>
                <w:rFonts w:ascii="Calibri"/>
                <w:color w:val="000000"/>
                <w:sz w:val="21"/>
                <w:szCs w:val="21"/>
              </w:rPr>
              <w:t xml:space="preserve">Demographic</w:t>
            </w:r>
          </w:p>
        </w:tc>
        <w:tc>
          <w:tcPr>
            <w:tcW w:type="pct" w:w="25%"/>
            <w:tcBorders>
              <w:top w:val="none"/>
              <w:left w:val="none"/>
              <w:bottom w:val="single" w:color="DDD0C8" w:sz="1"/>
              <w:right w:val="none"/>
            </w:tcBorders>
            <w:shd w:fill="F8F0EB" w:val="clear"/>
            <w:tcMar>
              <w:top w:type="dxa" w:w="60"/>
              <w:left w:type="dxa" w:w="120"/>
              <w:bottom w:type="dxa" w:w="60"/>
              <w:right w:type="dxa" w:w="120"/>
            </w:tcMar>
          </w:tcPr>
          <w:p>
            <w:r>
              <w:rPr>
                <w:rFonts w:ascii="Calibri"/>
                <w:color w:val="000000"/>
                <w:sz w:val="21"/>
                <w:szCs w:val="21"/>
              </w:rPr>
              <w:t xml:space="preserve">.edu or research institution email</w:t>
            </w:r>
          </w:p>
        </w:tc>
        <w:tc>
          <w:tcPr>
            <w:tcW w:type="pct" w:w="25%"/>
            <w:tcBorders>
              <w:top w:val="none"/>
              <w:left w:val="none"/>
              <w:bottom w:val="single" w:color="DDD0C8" w:sz="1"/>
              <w:right w:val="none"/>
            </w:tcBorders>
            <w:shd w:fill="F8F0EB" w:val="clear"/>
            <w:tcMar>
              <w:top w:type="dxa" w:w="60"/>
              <w:left w:type="dxa" w:w="120"/>
              <w:bottom w:type="dxa" w:w="60"/>
              <w:right w:type="dxa" w:w="120"/>
            </w:tcMar>
          </w:tcPr>
          <w:p>
            <w:r>
              <w:rPr>
                <w:rFonts w:ascii="Calibri"/>
                <w:color w:val="000000"/>
                <w:sz w:val="21"/>
                <w:szCs w:val="21"/>
              </w:rPr>
              <w:t xml:space="preserve">+10</w:t>
            </w:r>
          </w:p>
        </w:tc>
        <w:tc>
          <w:tcPr>
            <w:tcW w:type="pct" w:w="25%"/>
            <w:tcBorders>
              <w:top w:val="none"/>
              <w:left w:val="none"/>
              <w:bottom w:val="single" w:color="DDD0C8" w:sz="1"/>
              <w:right w:val="none"/>
            </w:tcBorders>
            <w:shd w:fill="F8F0EB" w:val="clear"/>
            <w:tcMar>
              <w:top w:type="dxa" w:w="60"/>
              <w:left w:type="dxa" w:w="120"/>
              <w:bottom w:type="dxa" w:w="60"/>
              <w:right w:type="dxa" w:w="120"/>
            </w:tcMar>
          </w:tcPr>
          <w:p>
            <w:r>
              <w:rPr>
                <w:rFonts w:ascii="Calibri"/>
                <w:color w:val="000000"/>
                <w:sz w:val="21"/>
                <w:szCs w:val="21"/>
              </w:rPr>
              <w:t xml:space="preserve">Academic influencer</w:t>
            </w:r>
          </w:p>
        </w:tc>
      </w:tr>
      <w:tr>
        <w:trPr>
          <w:cantSplit/>
        </w:trPr>
        <w:tc>
          <w:tcPr>
            <w:tcW w:type="pct" w:w="25%"/>
            <w:tcBorders>
              <w:top w:val="none"/>
              <w:left w:val="none"/>
              <w:bottom w:val="single" w:color="DDD0C8" w:sz="1"/>
              <w:right w:val="none"/>
            </w:tcBorders>
            <w:shd w:fill="FFFFFF" w:val="clear"/>
            <w:tcMar>
              <w:top w:type="dxa" w:w="60"/>
              <w:left w:type="dxa" w:w="120"/>
              <w:bottom w:type="dxa" w:w="60"/>
              <w:right w:type="dxa" w:w="120"/>
            </w:tcMar>
          </w:tcPr>
          <w:p>
            <w:r>
              <w:rPr>
                <w:rFonts w:ascii="Calibri"/>
                <w:color w:val="000000"/>
                <w:sz w:val="21"/>
                <w:szCs w:val="21"/>
              </w:rPr>
              <w:t xml:space="preserve">Behavioral</w:t>
            </w:r>
          </w:p>
        </w:tc>
        <w:tc>
          <w:tcPr>
            <w:tcW w:type="pct" w:w="25%"/>
            <w:tcBorders>
              <w:top w:val="none"/>
              <w:left w:val="none"/>
              <w:bottom w:val="single" w:color="DDD0C8" w:sz="1"/>
              <w:right w:val="none"/>
            </w:tcBorders>
            <w:shd w:fill="FFFFFF" w:val="clear"/>
            <w:tcMar>
              <w:top w:type="dxa" w:w="60"/>
              <w:left w:type="dxa" w:w="120"/>
              <w:bottom w:type="dxa" w:w="60"/>
              <w:right w:type="dxa" w:w="120"/>
            </w:tcMar>
          </w:tcPr>
          <w:p>
            <w:r>
              <w:rPr>
                <w:rFonts w:ascii="Calibri"/>
                <w:color w:val="000000"/>
                <w:sz w:val="21"/>
                <w:szCs w:val="21"/>
              </w:rPr>
              <w:t xml:space="preserve">Visited pricing page</w:t>
            </w:r>
          </w:p>
        </w:tc>
        <w:tc>
          <w:tcPr>
            <w:tcW w:type="pct" w:w="25%"/>
            <w:tcBorders>
              <w:top w:val="none"/>
              <w:left w:val="none"/>
              <w:bottom w:val="single" w:color="DDD0C8" w:sz="1"/>
              <w:right w:val="none"/>
            </w:tcBorders>
            <w:shd w:fill="FFFFFF" w:val="clear"/>
            <w:tcMar>
              <w:top w:type="dxa" w:w="60"/>
              <w:left w:type="dxa" w:w="120"/>
              <w:bottom w:type="dxa" w:w="60"/>
              <w:right w:type="dxa" w:w="120"/>
            </w:tcMar>
          </w:tcPr>
          <w:p>
            <w:r>
              <w:rPr>
                <w:rFonts w:ascii="Calibri"/>
                <w:color w:val="000000"/>
                <w:sz w:val="21"/>
                <w:szCs w:val="21"/>
              </w:rPr>
              <w:t xml:space="preserve">+10</w:t>
            </w:r>
          </w:p>
        </w:tc>
        <w:tc>
          <w:tcPr>
            <w:tcW w:type="pct" w:w="25%"/>
            <w:tcBorders>
              <w:top w:val="none"/>
              <w:left w:val="none"/>
              <w:bottom w:val="single" w:color="DDD0C8" w:sz="1"/>
              <w:right w:val="none"/>
            </w:tcBorders>
            <w:shd w:fill="FFFFFF" w:val="clear"/>
            <w:tcMar>
              <w:top w:type="dxa" w:w="60"/>
              <w:left w:type="dxa" w:w="120"/>
              <w:bottom w:type="dxa" w:w="60"/>
              <w:right w:type="dxa" w:w="120"/>
            </w:tcMar>
          </w:tcPr>
          <w:p>
            <w:r>
              <w:rPr>
                <w:rFonts w:ascii="Calibri"/>
                <w:color w:val="000000"/>
                <w:sz w:val="21"/>
                <w:szCs w:val="21"/>
              </w:rPr>
              <w:t xml:space="preserve">Purchase intent signal</w:t>
            </w:r>
          </w:p>
        </w:tc>
      </w:tr>
      <w:tr>
        <w:trPr>
          <w:cantSplit/>
        </w:trPr>
        <w:tc>
          <w:tcPr>
            <w:tcW w:type="pct" w:w="25%"/>
            <w:tcBorders>
              <w:top w:val="none"/>
              <w:left w:val="none"/>
              <w:bottom w:val="single" w:color="DDD0C8" w:sz="1"/>
              <w:right w:val="none"/>
            </w:tcBorders>
            <w:shd w:fill="F8F0EB" w:val="clear"/>
            <w:tcMar>
              <w:top w:type="dxa" w:w="60"/>
              <w:left w:type="dxa" w:w="120"/>
              <w:bottom w:type="dxa" w:w="60"/>
              <w:right w:type="dxa" w:w="120"/>
            </w:tcMar>
          </w:tcPr>
          <w:p>
            <w:r>
              <w:rPr>
                <w:rFonts w:ascii="Calibri"/>
                <w:color w:val="000000"/>
                <w:sz w:val="21"/>
                <w:szCs w:val="21"/>
              </w:rPr>
              <w:t xml:space="preserve">Behavioral</w:t>
            </w:r>
          </w:p>
        </w:tc>
        <w:tc>
          <w:tcPr>
            <w:tcW w:type="pct" w:w="25%"/>
            <w:tcBorders>
              <w:top w:val="none"/>
              <w:left w:val="none"/>
              <w:bottom w:val="single" w:color="DDD0C8" w:sz="1"/>
              <w:right w:val="none"/>
            </w:tcBorders>
            <w:shd w:fill="F8F0EB" w:val="clear"/>
            <w:tcMar>
              <w:top w:type="dxa" w:w="60"/>
              <w:left w:type="dxa" w:w="120"/>
              <w:bottom w:type="dxa" w:w="60"/>
              <w:right w:type="dxa" w:w="120"/>
            </w:tcMar>
          </w:tcPr>
          <w:p>
            <w:r>
              <w:rPr>
                <w:rFonts w:ascii="Calibri"/>
                <w:color w:val="000000"/>
                <w:sz w:val="21"/>
                <w:szCs w:val="21"/>
              </w:rPr>
              <w:t xml:space="preserve">Used leaderboard comparison</w:t>
            </w:r>
          </w:p>
        </w:tc>
        <w:tc>
          <w:tcPr>
            <w:tcW w:type="pct" w:w="25%"/>
            <w:tcBorders>
              <w:top w:val="none"/>
              <w:left w:val="none"/>
              <w:bottom w:val="single" w:color="DDD0C8" w:sz="1"/>
              <w:right w:val="none"/>
            </w:tcBorders>
            <w:shd w:fill="F8F0EB" w:val="clear"/>
            <w:tcMar>
              <w:top w:type="dxa" w:w="60"/>
              <w:left w:type="dxa" w:w="120"/>
              <w:bottom w:type="dxa" w:w="60"/>
              <w:right w:type="dxa" w:w="120"/>
            </w:tcMar>
          </w:tcPr>
          <w:p>
            <w:r>
              <w:rPr>
                <w:rFonts w:ascii="Calibri"/>
                <w:color w:val="000000"/>
                <w:sz w:val="21"/>
                <w:szCs w:val="21"/>
              </w:rPr>
              <w:t xml:space="preserve">+5</w:t>
            </w:r>
          </w:p>
        </w:tc>
        <w:tc>
          <w:tcPr>
            <w:tcW w:type="pct" w:w="25%"/>
            <w:tcBorders>
              <w:top w:val="none"/>
              <w:left w:val="none"/>
              <w:bottom w:val="single" w:color="DDD0C8" w:sz="1"/>
              <w:right w:val="none"/>
            </w:tcBorders>
            <w:shd w:fill="F8F0EB" w:val="clear"/>
            <w:tcMar>
              <w:top w:type="dxa" w:w="60"/>
              <w:left w:type="dxa" w:w="120"/>
              <w:bottom w:type="dxa" w:w="60"/>
              <w:right w:type="dxa" w:w="120"/>
            </w:tcMar>
          </w:tcPr>
          <w:p>
            <w:r>
              <w:rPr>
                <w:rFonts w:ascii="Calibri"/>
                <w:color w:val="000000"/>
                <w:sz w:val="21"/>
                <w:szCs w:val="21"/>
              </w:rPr>
              <w:t xml:space="preserve">Core feature engagement</w:t>
            </w:r>
          </w:p>
        </w:tc>
      </w:tr>
      <w:tr>
        <w:trPr>
          <w:cantSplit/>
        </w:trPr>
        <w:tc>
          <w:tcPr>
            <w:tcW w:type="pct" w:w="25%"/>
            <w:tcBorders>
              <w:top w:val="none"/>
              <w:left w:val="none"/>
              <w:bottom w:val="single" w:color="DDD0C8" w:sz="1"/>
              <w:right w:val="none"/>
            </w:tcBorders>
            <w:shd w:fill="FFFFFF" w:val="clear"/>
            <w:tcMar>
              <w:top w:type="dxa" w:w="60"/>
              <w:left w:type="dxa" w:w="120"/>
              <w:bottom w:type="dxa" w:w="60"/>
              <w:right w:type="dxa" w:w="120"/>
            </w:tcMar>
          </w:tcPr>
          <w:p>
            <w:r>
              <w:rPr>
                <w:rFonts w:ascii="Calibri"/>
                <w:color w:val="000000"/>
                <w:sz w:val="21"/>
                <w:szCs w:val="21"/>
              </w:rPr>
              <w:t xml:space="preserve">Behavioral</w:t>
            </w:r>
          </w:p>
        </w:tc>
        <w:tc>
          <w:tcPr>
            <w:tcW w:type="pct" w:w="25%"/>
            <w:tcBorders>
              <w:top w:val="none"/>
              <w:left w:val="none"/>
              <w:bottom w:val="single" w:color="DDD0C8" w:sz="1"/>
              <w:right w:val="none"/>
            </w:tcBorders>
            <w:shd w:fill="FFFFFF" w:val="clear"/>
            <w:tcMar>
              <w:top w:type="dxa" w:w="60"/>
              <w:left w:type="dxa" w:w="120"/>
              <w:bottom w:type="dxa" w:w="60"/>
              <w:right w:type="dxa" w:w="120"/>
            </w:tcMar>
          </w:tcPr>
          <w:p>
            <w:r>
              <w:rPr>
                <w:rFonts w:ascii="Calibri"/>
                <w:color w:val="000000"/>
                <w:sz w:val="21"/>
                <w:szCs w:val="21"/>
              </w:rPr>
              <w:t xml:space="preserve">Hit free tier limit</w:t>
            </w:r>
          </w:p>
        </w:tc>
        <w:tc>
          <w:tcPr>
            <w:tcW w:type="pct" w:w="25%"/>
            <w:tcBorders>
              <w:top w:val="none"/>
              <w:left w:val="none"/>
              <w:bottom w:val="single" w:color="DDD0C8" w:sz="1"/>
              <w:right w:val="none"/>
            </w:tcBorders>
            <w:shd w:fill="FFFFFF" w:val="clear"/>
            <w:tcMar>
              <w:top w:type="dxa" w:w="60"/>
              <w:left w:type="dxa" w:w="120"/>
              <w:bottom w:type="dxa" w:w="60"/>
              <w:right w:type="dxa" w:w="120"/>
            </w:tcMar>
          </w:tcPr>
          <w:p>
            <w:r>
              <w:rPr>
                <w:rFonts w:ascii="Calibri"/>
                <w:color w:val="000000"/>
                <w:sz w:val="21"/>
                <w:szCs w:val="21"/>
              </w:rPr>
              <w:t xml:space="preserve">+15</w:t>
            </w:r>
          </w:p>
        </w:tc>
        <w:tc>
          <w:tcPr>
            <w:tcW w:type="pct" w:w="25%"/>
            <w:tcBorders>
              <w:top w:val="none"/>
              <w:left w:val="none"/>
              <w:bottom w:val="single" w:color="DDD0C8" w:sz="1"/>
              <w:right w:val="none"/>
            </w:tcBorders>
            <w:shd w:fill="FFFFFF" w:val="clear"/>
            <w:tcMar>
              <w:top w:type="dxa" w:w="60"/>
              <w:left w:type="dxa" w:w="120"/>
              <w:bottom w:type="dxa" w:w="60"/>
              <w:right w:type="dxa" w:w="120"/>
            </w:tcMar>
          </w:tcPr>
          <w:p>
            <w:r>
              <w:rPr>
                <w:rFonts w:ascii="Calibri"/>
                <w:color w:val="000000"/>
                <w:sz w:val="21"/>
                <w:szCs w:val="21"/>
              </w:rPr>
              <w:t xml:space="preserve">Conversion trigger</w:t>
            </w:r>
          </w:p>
        </w:tc>
      </w:tr>
      <w:tr>
        <w:trPr>
          <w:cantSplit/>
        </w:trPr>
        <w:tc>
          <w:tcPr>
            <w:tcW w:type="pct" w:w="25%"/>
            <w:tcBorders>
              <w:top w:val="none"/>
              <w:left w:val="none"/>
              <w:bottom w:val="single" w:color="DDD0C8" w:sz="1"/>
              <w:right w:val="none"/>
            </w:tcBorders>
            <w:shd w:fill="F8F0EB" w:val="clear"/>
            <w:tcMar>
              <w:top w:type="dxa" w:w="60"/>
              <w:left w:type="dxa" w:w="120"/>
              <w:bottom w:type="dxa" w:w="60"/>
              <w:right w:type="dxa" w:w="120"/>
            </w:tcMar>
          </w:tcPr>
          <w:p>
            <w:r>
              <w:rPr>
                <w:rFonts w:ascii="Calibri"/>
                <w:color w:val="000000"/>
                <w:sz w:val="21"/>
                <w:szCs w:val="21"/>
              </w:rPr>
              <w:t xml:space="preserve">Engagement</w:t>
            </w:r>
          </w:p>
        </w:tc>
        <w:tc>
          <w:tcPr>
            <w:tcW w:type="pct" w:w="25%"/>
            <w:tcBorders>
              <w:top w:val="none"/>
              <w:left w:val="none"/>
              <w:bottom w:val="single" w:color="DDD0C8" w:sz="1"/>
              <w:right w:val="none"/>
            </w:tcBorders>
            <w:shd w:fill="F8F0EB" w:val="clear"/>
            <w:tcMar>
              <w:top w:type="dxa" w:w="60"/>
              <w:left w:type="dxa" w:w="120"/>
              <w:bottom w:type="dxa" w:w="60"/>
              <w:right w:type="dxa" w:w="120"/>
            </w:tcMar>
          </w:tcPr>
          <w:p>
            <w:r>
              <w:rPr>
                <w:rFonts w:ascii="Calibri"/>
                <w:color w:val="000000"/>
                <w:sz w:val="21"/>
                <w:szCs w:val="21"/>
              </w:rPr>
              <w:t xml:space="preserve">Opened 3+ emails</w:t>
            </w:r>
          </w:p>
        </w:tc>
        <w:tc>
          <w:tcPr>
            <w:tcW w:type="pct" w:w="25%"/>
            <w:tcBorders>
              <w:top w:val="none"/>
              <w:left w:val="none"/>
              <w:bottom w:val="single" w:color="DDD0C8" w:sz="1"/>
              <w:right w:val="none"/>
            </w:tcBorders>
            <w:shd w:fill="F8F0EB" w:val="clear"/>
            <w:tcMar>
              <w:top w:type="dxa" w:w="60"/>
              <w:left w:type="dxa" w:w="120"/>
              <w:bottom w:type="dxa" w:w="60"/>
              <w:right w:type="dxa" w:w="120"/>
            </w:tcMar>
          </w:tcPr>
          <w:p>
            <w:r>
              <w:rPr>
                <w:rFonts w:ascii="Calibri"/>
                <w:color w:val="000000"/>
                <w:sz w:val="21"/>
                <w:szCs w:val="21"/>
              </w:rPr>
              <w:t xml:space="preserve">+5</w:t>
            </w:r>
          </w:p>
        </w:tc>
        <w:tc>
          <w:tcPr>
            <w:tcW w:type="pct" w:w="25%"/>
            <w:tcBorders>
              <w:top w:val="none"/>
              <w:left w:val="none"/>
              <w:bottom w:val="single" w:color="DDD0C8" w:sz="1"/>
              <w:right w:val="none"/>
            </w:tcBorders>
            <w:shd w:fill="F8F0EB" w:val="clear"/>
            <w:tcMar>
              <w:top w:type="dxa" w:w="60"/>
              <w:left w:type="dxa" w:w="120"/>
              <w:bottom w:type="dxa" w:w="60"/>
              <w:right w:type="dxa" w:w="120"/>
            </w:tcMar>
          </w:tcPr>
          <w:p>
            <w:r>
              <w:rPr>
                <w:rFonts w:ascii="Calibri"/>
                <w:color w:val="000000"/>
                <w:sz w:val="21"/>
                <w:szCs w:val="21"/>
              </w:rPr>
              <w:t xml:space="preserve">Active interest</w:t>
            </w:r>
          </w:p>
        </w:tc>
      </w:tr>
      <w:tr>
        <w:trPr>
          <w:cantSplit/>
        </w:trPr>
        <w:tc>
          <w:tcPr>
            <w:tcW w:type="pct" w:w="25%"/>
            <w:tcBorders>
              <w:top w:val="none"/>
              <w:left w:val="none"/>
              <w:bottom w:val="single" w:color="DDD0C8" w:sz="1"/>
              <w:right w:val="none"/>
            </w:tcBorders>
            <w:shd w:fill="FFFFFF" w:val="clear"/>
            <w:tcMar>
              <w:top w:type="dxa" w:w="60"/>
              <w:left w:type="dxa" w:w="120"/>
              <w:bottom w:type="dxa" w:w="60"/>
              <w:right w:type="dxa" w:w="120"/>
            </w:tcMar>
          </w:tcPr>
          <w:p>
            <w:r>
              <w:rPr>
                <w:rFonts w:ascii="Calibri"/>
                <w:color w:val="000000"/>
                <w:sz w:val="21"/>
                <w:szCs w:val="21"/>
              </w:rPr>
              <w:t xml:space="preserve">Engagement</w:t>
            </w:r>
          </w:p>
        </w:tc>
        <w:tc>
          <w:tcPr>
            <w:tcW w:type="pct" w:w="25%"/>
            <w:tcBorders>
              <w:top w:val="none"/>
              <w:left w:val="none"/>
              <w:bottom w:val="single" w:color="DDD0C8" w:sz="1"/>
              <w:right w:val="none"/>
            </w:tcBorders>
            <w:shd w:fill="FFFFFF" w:val="clear"/>
            <w:tcMar>
              <w:top w:type="dxa" w:w="60"/>
              <w:left w:type="dxa" w:w="120"/>
              <w:bottom w:type="dxa" w:w="60"/>
              <w:right w:type="dxa" w:w="120"/>
            </w:tcMar>
          </w:tcPr>
          <w:p>
            <w:r>
              <w:rPr>
                <w:rFonts w:ascii="Calibri"/>
                <w:color w:val="000000"/>
                <w:sz w:val="21"/>
                <w:szCs w:val="21"/>
              </w:rPr>
              <w:t xml:space="preserve">Downloaded benchmark report</w:t>
            </w:r>
          </w:p>
        </w:tc>
        <w:tc>
          <w:tcPr>
            <w:tcW w:type="pct" w:w="25%"/>
            <w:tcBorders>
              <w:top w:val="none"/>
              <w:left w:val="none"/>
              <w:bottom w:val="single" w:color="DDD0C8" w:sz="1"/>
              <w:right w:val="none"/>
            </w:tcBorders>
            <w:shd w:fill="FFFFFF" w:val="clear"/>
            <w:tcMar>
              <w:top w:type="dxa" w:w="60"/>
              <w:left w:type="dxa" w:w="120"/>
              <w:bottom w:type="dxa" w:w="60"/>
              <w:right w:type="dxa" w:w="120"/>
            </w:tcMar>
          </w:tcPr>
          <w:p>
            <w:r>
              <w:rPr>
                <w:rFonts w:ascii="Calibri"/>
                <w:color w:val="000000"/>
                <w:sz w:val="21"/>
                <w:szCs w:val="21"/>
              </w:rPr>
              <w:t xml:space="preserve">+10</w:t>
            </w:r>
          </w:p>
        </w:tc>
        <w:tc>
          <w:tcPr>
            <w:tcW w:type="pct" w:w="25%"/>
            <w:tcBorders>
              <w:top w:val="none"/>
              <w:left w:val="none"/>
              <w:bottom w:val="single" w:color="DDD0C8" w:sz="1"/>
              <w:right w:val="none"/>
            </w:tcBorders>
            <w:shd w:fill="FFFFFF" w:val="clear"/>
            <w:tcMar>
              <w:top w:type="dxa" w:w="60"/>
              <w:left w:type="dxa" w:w="120"/>
              <w:bottom w:type="dxa" w:w="60"/>
              <w:right w:type="dxa" w:w="120"/>
            </w:tcMar>
          </w:tcPr>
          <w:p>
            <w:r>
              <w:rPr>
                <w:rFonts w:ascii="Calibri"/>
                <w:color w:val="000000"/>
                <w:sz w:val="21"/>
                <w:szCs w:val="21"/>
              </w:rPr>
              <w:t xml:space="preserve">High-value content consumption</w:t>
            </w:r>
          </w:p>
        </w:tc>
      </w:tr>
      <w:tr>
        <w:trPr>
          <w:cantSplit/>
        </w:trPr>
        <w:tc>
          <w:tcPr>
            <w:tcW w:type="pct" w:w="25%"/>
            <w:tcBorders>
              <w:top w:val="none"/>
              <w:left w:val="none"/>
              <w:bottom w:val="single" w:color="DDD0C8" w:sz="1"/>
              <w:right w:val="none"/>
            </w:tcBorders>
            <w:shd w:fill="F8F0EB" w:val="clear"/>
            <w:tcMar>
              <w:top w:type="dxa" w:w="60"/>
              <w:left w:type="dxa" w:w="120"/>
              <w:bottom w:type="dxa" w:w="60"/>
              <w:right w:type="dxa" w:w="120"/>
            </w:tcMar>
          </w:tcPr>
          <w:p>
            <w:r>
              <w:rPr>
                <w:rFonts w:ascii="Calibri"/>
                <w:color w:val="000000"/>
                <w:sz w:val="21"/>
                <w:szCs w:val="21"/>
              </w:rPr>
              <w:t xml:space="preserve">Negative</w:t>
            </w:r>
          </w:p>
        </w:tc>
        <w:tc>
          <w:tcPr>
            <w:tcW w:type="pct" w:w="25%"/>
            <w:tcBorders>
              <w:top w:val="none"/>
              <w:left w:val="none"/>
              <w:bottom w:val="single" w:color="DDD0C8" w:sz="1"/>
              <w:right w:val="none"/>
            </w:tcBorders>
            <w:shd w:fill="F8F0EB" w:val="clear"/>
            <w:tcMar>
              <w:top w:type="dxa" w:w="60"/>
              <w:left w:type="dxa" w:w="120"/>
              <w:bottom w:type="dxa" w:w="60"/>
              <w:right w:type="dxa" w:w="120"/>
            </w:tcMar>
          </w:tcPr>
          <w:p>
            <w:r>
              <w:rPr>
                <w:rFonts w:ascii="Calibri"/>
                <w:color w:val="000000"/>
                <w:sz w:val="21"/>
                <w:szCs w:val="21"/>
              </w:rPr>
              <w:t xml:space="preserve">Unsubscribed from email</w:t>
            </w:r>
          </w:p>
        </w:tc>
        <w:tc>
          <w:tcPr>
            <w:tcW w:type="pct" w:w="25%"/>
            <w:tcBorders>
              <w:top w:val="none"/>
              <w:left w:val="none"/>
              <w:bottom w:val="single" w:color="DDD0C8" w:sz="1"/>
              <w:right w:val="none"/>
            </w:tcBorders>
            <w:shd w:fill="F8F0EB" w:val="clear"/>
            <w:tcMar>
              <w:top w:type="dxa" w:w="60"/>
              <w:left w:type="dxa" w:w="120"/>
              <w:bottom w:type="dxa" w:w="60"/>
              <w:right w:type="dxa" w:w="120"/>
            </w:tcMar>
          </w:tcPr>
          <w:p>
            <w:r>
              <w:rPr>
                <w:rFonts w:ascii="Calibri"/>
                <w:color w:val="000000"/>
                <w:sz w:val="21"/>
                <w:szCs w:val="21"/>
              </w:rPr>
              <w:t xml:space="preserve">-20</w:t>
            </w:r>
          </w:p>
        </w:tc>
        <w:tc>
          <w:tcPr>
            <w:tcW w:type="pct" w:w="25%"/>
            <w:tcBorders>
              <w:top w:val="none"/>
              <w:left w:val="none"/>
              <w:bottom w:val="single" w:color="DDD0C8" w:sz="1"/>
              <w:right w:val="none"/>
            </w:tcBorders>
            <w:shd w:fill="F8F0EB" w:val="clear"/>
            <w:tcMar>
              <w:top w:type="dxa" w:w="60"/>
              <w:left w:type="dxa" w:w="120"/>
              <w:bottom w:type="dxa" w:w="60"/>
              <w:right w:type="dxa" w:w="120"/>
            </w:tcMar>
          </w:tcPr>
          <w:p>
            <w:r>
              <w:rPr>
                <w:rFonts w:ascii="Calibri"/>
                <w:color w:val="000000"/>
                <w:sz w:val="21"/>
                <w:szCs w:val="21"/>
              </w:rPr>
              <w:t xml:space="preserve">Disengaged</w:t>
            </w:r>
          </w:p>
        </w:tc>
      </w:tr>
      <w:tr>
        <w:trPr>
          <w:cantSplit/>
        </w:trPr>
        <w:tc>
          <w:tcPr>
            <w:tcW w:type="pct" w:w="25%"/>
            <w:tcBorders>
              <w:top w:val="none"/>
              <w:left w:val="none"/>
              <w:bottom w:val="single" w:color="DDD0C8" w:sz="1"/>
              <w:right w:val="none"/>
            </w:tcBorders>
            <w:shd w:fill="FFFFFF" w:val="clear"/>
            <w:tcMar>
              <w:top w:type="dxa" w:w="60"/>
              <w:left w:type="dxa" w:w="120"/>
              <w:bottom w:type="dxa" w:w="60"/>
              <w:right w:type="dxa" w:w="120"/>
            </w:tcMar>
          </w:tcPr>
          <w:p>
            <w:r>
              <w:rPr>
                <w:rFonts w:ascii="Calibri"/>
                <w:color w:val="000000"/>
                <w:sz w:val="21"/>
                <w:szCs w:val="21"/>
              </w:rPr>
              <w:t xml:space="preserve">Negative</w:t>
            </w:r>
          </w:p>
        </w:tc>
        <w:tc>
          <w:tcPr>
            <w:tcW w:type="pct" w:w="25%"/>
            <w:tcBorders>
              <w:top w:val="none"/>
              <w:left w:val="none"/>
              <w:bottom w:val="single" w:color="DDD0C8" w:sz="1"/>
              <w:right w:val="none"/>
            </w:tcBorders>
            <w:shd w:fill="FFFFFF" w:val="clear"/>
            <w:tcMar>
              <w:top w:type="dxa" w:w="60"/>
              <w:left w:type="dxa" w:w="120"/>
              <w:bottom w:type="dxa" w:w="60"/>
              <w:right w:type="dxa" w:w="120"/>
            </w:tcMar>
          </w:tcPr>
          <w:p>
            <w:r>
              <w:rPr>
                <w:rFonts w:ascii="Calibri"/>
                <w:color w:val="000000"/>
                <w:sz w:val="21"/>
                <w:szCs w:val="21"/>
              </w:rPr>
              <w:t xml:space="preserve">No login in 30 days</w:t>
            </w:r>
          </w:p>
        </w:tc>
        <w:tc>
          <w:tcPr>
            <w:tcW w:type="pct" w:w="25%"/>
            <w:tcBorders>
              <w:top w:val="none"/>
              <w:left w:val="none"/>
              <w:bottom w:val="single" w:color="DDD0C8" w:sz="1"/>
              <w:right w:val="none"/>
            </w:tcBorders>
            <w:shd w:fill="FFFFFF" w:val="clear"/>
            <w:tcMar>
              <w:top w:type="dxa" w:w="60"/>
              <w:left w:type="dxa" w:w="120"/>
              <w:bottom w:type="dxa" w:w="60"/>
              <w:right w:type="dxa" w:w="120"/>
            </w:tcMar>
          </w:tcPr>
          <w:p>
            <w:r>
              <w:rPr>
                <w:rFonts w:ascii="Calibri"/>
                <w:color w:val="000000"/>
                <w:sz w:val="21"/>
                <w:szCs w:val="21"/>
              </w:rPr>
              <w:t xml:space="preserve">-10</w:t>
            </w:r>
          </w:p>
        </w:tc>
        <w:tc>
          <w:tcPr>
            <w:tcW w:type="pct" w:w="25%"/>
            <w:tcBorders>
              <w:top w:val="none"/>
              <w:left w:val="none"/>
              <w:bottom w:val="single" w:color="DDD0C8" w:sz="1"/>
              <w:right w:val="none"/>
            </w:tcBorders>
            <w:shd w:fill="FFFFFF" w:val="clear"/>
            <w:tcMar>
              <w:top w:type="dxa" w:w="60"/>
              <w:left w:type="dxa" w:w="120"/>
              <w:bottom w:type="dxa" w:w="60"/>
              <w:right w:type="dxa" w:w="120"/>
            </w:tcMar>
          </w:tcPr>
          <w:p>
            <w:r>
              <w:rPr>
                <w:rFonts w:ascii="Calibri"/>
                <w:color w:val="000000"/>
                <w:sz w:val="21"/>
                <w:szCs w:val="21"/>
              </w:rPr>
              <w:t xml:space="preserve">Churn risk</w:t>
            </w:r>
          </w:p>
        </w:tc>
      </w:tr>
    </w:tbl>
    <w:p>
      <w:pPr>
        <w:spacing w:after="60" w:before="60"/>
      </w:pPr>
    </w:p>
    <w:p>
      <w:pPr>
        <w:pStyle w:val="Heading2"/>
        <w:spacing w:after="120" w:before="280" w:line="312"/>
      </w:pPr>
      <w:bookmarkStart w:id="100024" w:name="_Toc100024"/>
      <w:r>
        <w:rPr>
          <w:rFonts w:ascii="Times New Roman"/>
          <w:b/>
          <w:bCs/>
          <w:color w:val="0B1220"/>
          <w:sz w:val="28"/>
          <w:szCs w:val="28"/>
        </w:rPr>
        <w:t xml:space="preserve">3.6 Account-Based Marketing (ABM)</w:t>
      </w:r>
      <w:bookmarkEnd w:id="100024"/>
    </w:p>
    <w:p>
      <w:pPr>
        <w:pStyle w:val="Heading3"/>
        <w:spacing w:after="100" w:before="200" w:line="312"/>
      </w:pPr>
      <w:bookmarkStart w:id="100025" w:name="_Toc100025"/>
      <w:r>
        <w:rPr>
          <w:rFonts w:ascii="Times New Roman"/>
          <w:b/>
          <w:bCs/>
          <w:color w:val="0B1220"/>
          <w:sz w:val="24"/>
          <w:szCs w:val="24"/>
        </w:rPr>
        <w:t xml:space="preserve">3.6.1 Target Account Selection</w:t>
      </w:r>
      <w:bookmarkEnd w:id="100025"/>
    </w:p>
    <w:p>
      <w:pPr>
        <w:spacing w:after="120" w:line="312"/>
        <w:ind w:firstLine="480"/>
        <w:jc w:val="both"/>
      </w:pPr>
      <w:r>
        <w:rPr>
          <w:rFonts w:ascii="Times New Roman"/>
          <w:color w:val="000000"/>
          <w:sz w:val="24"/>
          <w:szCs w:val="24"/>
        </w:rPr>
        <w:t xml:space="preserve">Account-Based Marketing will focus on a carefully curated list of 50-100 high-value target accounts that represent the highest potential revenue opportunity for TheOneWayGDA. Target account selection criteria should include: companies with 200+ employees in AI-heavy industries (technology, finance, healthcare, consulting, pharmaceuticals), evidence of AI/ML investment (job postings for AI engineers, AI-related press releases, presence at AI conferences), current use of multiple AI model providers (indicating evaluation complexity), and a likely need for governance and compliance features (regulated industries, enterprise security requirements).</w:t>
      </w:r>
    </w:p>
    <w:p>
      <w:pPr>
        <w:spacing w:after="120" w:line="312"/>
        <w:ind w:firstLine="480"/>
        <w:jc w:val="both"/>
      </w:pPr>
      <w:r>
        <w:rPr>
          <w:rFonts w:ascii="Times New Roman"/>
          <w:color w:val="000000"/>
          <w:sz w:val="24"/>
          <w:szCs w:val="24"/>
        </w:rPr>
        <w:t xml:space="preserve">The ABM program should classify target accounts into three tiers. Tier 1 accounts (10-15 companies) receive the highest level of personalization with dedicated account managers, custom benchmark reports, executive outreach, and tailored ROI analyses. Tier 2 accounts (30-40 companies) receive semi-personalized campaigns with industry-specific content and targeted advertising. Tier 3 accounts (50-75 companies) receive programmatic ABM through automated campaigns triggered by firmographic and intent data signals.</w:t>
      </w:r>
    </w:p>
    <w:p>
      <w:pPr>
        <w:pStyle w:val="Heading3"/>
        <w:spacing w:after="100" w:before="200" w:line="312"/>
      </w:pPr>
      <w:bookmarkStart w:id="100026" w:name="_Toc100026"/>
      <w:r>
        <w:rPr>
          <w:rFonts w:ascii="Times New Roman"/>
          <w:b/>
          <w:bCs/>
          <w:color w:val="0B1220"/>
          <w:sz w:val="24"/>
          <w:szCs w:val="24"/>
        </w:rPr>
        <w:t xml:space="preserve">3.6.2 ABM Campaign Execution</w:t>
      </w:r>
      <w:bookmarkEnd w:id="100026"/>
    </w:p>
    <w:p>
      <w:pPr>
        <w:spacing w:after="120" w:line="312"/>
        <w:ind w:firstLine="480"/>
        <w:jc w:val="both"/>
      </w:pPr>
      <w:r>
        <w:rPr>
          <w:rFonts w:ascii="Times New Roman"/>
          <w:color w:val="000000"/>
          <w:sz w:val="24"/>
          <w:szCs w:val="24"/>
        </w:rPr>
        <w:t xml:space="preserve">Each target account should have a multi-touch campaign orchestrated across multiple channels. The typical ABM campaign sequence includes: identification of key stakeholders within the target account (CTO, VP Engineering, Head of AI, Data Science Manager, procurement); initial engagement through LinkedIn connection requests, personalized email outreach referencing the company's specific AI stack or evaluation challenges; delivery of a custom benchmark analysis comparing the models the company is known to use; an invitation to a private demo or consultation tailored to their industry use case; retargeting display ads on industry publications the target account's employees frequently visit; and ongoing nurture through quarterly business reviews and product update briefings.</w:t>
      </w:r>
    </w:p>
    <w:p>
      <w:pPr>
        <w:spacing w:after="120" w:line="312"/>
        <w:ind w:firstLine="480"/>
        <w:jc w:val="both"/>
      </w:pPr>
      <w:r>
        <w:rPr>
          <w:rFonts w:ascii="Times New Roman"/>
          <w:color w:val="000000"/>
          <w:sz w:val="24"/>
          <w:szCs w:val="24"/>
        </w:rPr>
        <w:t xml:space="preserve">The ABM program should be measured on account-level metrics rather than individual lead metrics, including target account engagement rate (percentage of accounts with at least one meaningful interaction), pipeline velocity (time from first touch to opportunity creation), average deal size for ABM-sourced deals, and ABM-influenced revenue. The expected ROI from ABM should be significantly higher than other channels, with typical ABM programs delivering 3-5x higher conversion rates and 2-3x larger deal sizes compared to traditional demand generation.</w:t>
      </w:r>
    </w:p>
    <w:p>
      <w:pPr>
        <w:pStyle w:val="Heading1"/>
        <w:spacing w:after="160" w:before="360" w:line="312"/>
      </w:pPr>
      <w:bookmarkStart w:id="100027" w:name="_Toc100027"/>
      <w:r>
        <w:rPr>
          <w:rFonts w:ascii="Times New Roman"/>
          <w:b/>
          <w:bCs/>
          <w:color w:val="0B1220"/>
          <w:sz w:val="32"/>
          <w:szCs w:val="32"/>
        </w:rPr>
        <w:t xml:space="preserve">4. Targeted Advertising Campaigns</w:t>
      </w:r>
      <w:bookmarkEnd w:id="100027"/>
    </w:p>
    <w:p>
      <w:pPr>
        <w:pStyle w:val="Heading2"/>
        <w:spacing w:after="120" w:before="280" w:line="312"/>
      </w:pPr>
      <w:bookmarkStart w:id="100028" w:name="_Toc100028"/>
      <w:r>
        <w:rPr>
          <w:rFonts w:ascii="Times New Roman"/>
          <w:b/>
          <w:bCs/>
          <w:color w:val="0B1220"/>
          <w:sz w:val="28"/>
          <w:szCs w:val="28"/>
        </w:rPr>
        <w:t xml:space="preserve">4.1 Campaign Framework</w:t>
      </w:r>
      <w:bookmarkEnd w:id="100028"/>
    </w:p>
    <w:p>
      <w:pPr>
        <w:spacing w:after="120" w:line="312"/>
        <w:ind w:firstLine="480"/>
        <w:jc w:val="both"/>
      </w:pPr>
      <w:r>
        <w:rPr>
          <w:rFonts w:ascii="Times New Roman"/>
          <w:color w:val="000000"/>
          <w:sz w:val="24"/>
          <w:szCs w:val="24"/>
        </w:rPr>
        <w:t xml:space="preserve">All advertising campaigns will follow a structured framework of plan, launch, measure, and optimize. Each campaign begins with a clear hypothesis (for example, 'Ads targeting AI researchers comparing Claude 4 vs GPT-4o will drive leaderboard page visits at a CPA under $30'), measurable success criteria, and a defined testing plan. Campaigns are launched with controlled budgets for initial learning (typically 1-2 weeks), then scaled based on performance data. The optimization cycle runs weekly, with creative refreshes monthly and full campaign reviews quarterly.</w:t>
      </w:r>
    </w:p>
    <w:p>
      <w:pPr>
        <w:spacing w:after="120" w:line="312"/>
        <w:ind w:firstLine="480"/>
        <w:jc w:val="both"/>
      </w:pPr>
      <w:r>
        <w:rPr>
          <w:rFonts w:ascii="Times New Roman"/>
          <w:color w:val="000000"/>
          <w:sz w:val="24"/>
          <w:szCs w:val="24"/>
        </w:rPr>
        <w:t xml:space="preserve">The campaign framework also includes a unified tracking and attribution system that connects ad impressions and clicks through to registration, activation, and conversion events. This requires proper UTM parameter naming conventions, cross-domain tracking for any landing pages hosted outside the main domain, and integration between ad platform APIs and the platform's analytics system. Attribution will use a data-driven model that weights touchpoints based on their actual contribution to conversion rather than relying on last-click attribution, which undervalues awareness-stage channels.</w:t>
      </w:r>
    </w:p>
    <w:p>
      <w:pPr>
        <w:pStyle w:val="Heading2"/>
        <w:spacing w:after="120" w:before="280" w:line="312"/>
      </w:pPr>
      <w:bookmarkStart w:id="100029" w:name="_Toc100029"/>
      <w:r>
        <w:rPr>
          <w:rFonts w:ascii="Times New Roman"/>
          <w:b/>
          <w:bCs/>
          <w:color w:val="0B1220"/>
          <w:sz w:val="28"/>
          <w:szCs w:val="28"/>
        </w:rPr>
        <w:t xml:space="preserve">4.2 Campaign Portfolio</w:t>
      </w:r>
      <w:bookmarkEnd w:id="100029"/>
    </w:p>
    <w:p>
      <w:pPr>
        <w:keepNext/>
        <w:spacing w:after="80" w:before="200" w:line="312"/>
      </w:pPr>
      <w:r>
        <w:rPr>
          <w:rFonts w:ascii="Times New Roman"/>
          <w:b/>
          <w:bCs/>
          <w:color w:val="506070"/>
          <w:sz w:val="21"/>
          <w:szCs w:val="21"/>
        </w:rPr>
        <w:t xml:space="preserve">Table 6: Advertising Campaign Portfolio</w:t>
      </w:r>
    </w:p>
    <w:tbl>
      <w:tblPr>
        <w:tblW w:type="pct" w:w="100%"/>
        <w:tblBorders>
          <w:top w:val="single" w:color="D4875A" w:sz="2"/>
          <w:left w:val="none"/>
          <w:bottom w:val="single" w:color="D4875A" w:sz="2"/>
          <w:right w:val="none"/>
          <w:insideH w:val="single" w:color="DDD0C8" w:sz="1"/>
          <w:insideV w:val="none"/>
        </w:tblBorders>
        <w:tblLayout w:type="fixed"/>
      </w:tblPr>
      <w:tblGrid>
        <w:gridCol w:w="100"/>
        <w:gridCol w:w="100"/>
        <w:gridCol w:w="100"/>
        <w:gridCol w:w="100"/>
        <w:gridCol w:w="100"/>
      </w:tblGrid>
      <w:tr>
        <w:trPr>
          <w:cantSplit/>
          <w:tblHeader/>
        </w:trPr>
        <w:tc>
          <w:tcPr>
            <w:tcW w:type="pct" w:w="20%"/>
            <w:tcBorders>
              <w:top w:val="none"/>
              <w:left w:val="none"/>
              <w:bottom w:val="single" w:color="D4875A" w:sz="2"/>
              <w:right w:val="none"/>
            </w:tcBorders>
            <w:shd w:fill="D4875A" w:val="clear"/>
            <w:tcMar>
              <w:top w:type="dxa" w:w="60"/>
              <w:left w:type="dxa" w:w="120"/>
              <w:bottom w:type="dxa" w:w="60"/>
              <w:right w:type="dxa" w:w="120"/>
            </w:tcMar>
          </w:tcPr>
          <w:p>
            <w:r>
              <w:rPr>
                <w:rFonts w:ascii="Calibri"/>
                <w:b/>
                <w:bCs/>
                <w:color w:val="FFFFFF"/>
                <w:sz w:val="21"/>
                <w:szCs w:val="21"/>
              </w:rPr>
              <w:t xml:space="preserve">Campaign</w:t>
            </w:r>
          </w:p>
        </w:tc>
        <w:tc>
          <w:tcPr>
            <w:tcW w:type="pct" w:w="20%"/>
            <w:tcBorders>
              <w:top w:val="none"/>
              <w:left w:val="none"/>
              <w:bottom w:val="single" w:color="D4875A" w:sz="2"/>
              <w:right w:val="none"/>
            </w:tcBorders>
            <w:shd w:fill="D4875A" w:val="clear"/>
            <w:tcMar>
              <w:top w:type="dxa" w:w="60"/>
              <w:left w:type="dxa" w:w="120"/>
              <w:bottom w:type="dxa" w:w="60"/>
              <w:right w:type="dxa" w:w="120"/>
            </w:tcMar>
          </w:tcPr>
          <w:p>
            <w:r>
              <w:rPr>
                <w:rFonts w:ascii="Calibri"/>
                <w:b/>
                <w:bCs/>
                <w:color w:val="FFFFFF"/>
                <w:sz w:val="21"/>
                <w:szCs w:val="21"/>
              </w:rPr>
              <w:t xml:space="preserve">Platform</w:t>
            </w:r>
          </w:p>
        </w:tc>
        <w:tc>
          <w:tcPr>
            <w:tcW w:type="pct" w:w="20%"/>
            <w:tcBorders>
              <w:top w:val="none"/>
              <w:left w:val="none"/>
              <w:bottom w:val="single" w:color="D4875A" w:sz="2"/>
              <w:right w:val="none"/>
            </w:tcBorders>
            <w:shd w:fill="D4875A" w:val="clear"/>
            <w:tcMar>
              <w:top w:type="dxa" w:w="60"/>
              <w:left w:type="dxa" w:w="120"/>
              <w:bottom w:type="dxa" w:w="60"/>
              <w:right w:type="dxa" w:w="120"/>
            </w:tcMar>
          </w:tcPr>
          <w:p>
            <w:r>
              <w:rPr>
                <w:rFonts w:ascii="Calibri"/>
                <w:b/>
                <w:bCs/>
                <w:color w:val="FFFFFF"/>
                <w:sz w:val="21"/>
                <w:szCs w:val="21"/>
              </w:rPr>
              <w:t xml:space="preserve">Target Audience</w:t>
            </w:r>
          </w:p>
        </w:tc>
        <w:tc>
          <w:tcPr>
            <w:tcW w:type="pct" w:w="20%"/>
            <w:tcBorders>
              <w:top w:val="none"/>
              <w:left w:val="none"/>
              <w:bottom w:val="single" w:color="D4875A" w:sz="2"/>
              <w:right w:val="none"/>
            </w:tcBorders>
            <w:shd w:fill="D4875A" w:val="clear"/>
            <w:tcMar>
              <w:top w:type="dxa" w:w="60"/>
              <w:left w:type="dxa" w:w="120"/>
              <w:bottom w:type="dxa" w:w="60"/>
              <w:right w:type="dxa" w:w="120"/>
            </w:tcMar>
          </w:tcPr>
          <w:p>
            <w:r>
              <w:rPr>
                <w:rFonts w:ascii="Calibri"/>
                <w:b/>
                <w:bCs/>
                <w:color w:val="FFFFFF"/>
                <w:sz w:val="21"/>
                <w:szCs w:val="21"/>
              </w:rPr>
              <w:t xml:space="preserve">Budget/Month</w:t>
            </w:r>
          </w:p>
        </w:tc>
        <w:tc>
          <w:tcPr>
            <w:tcW w:type="pct" w:w="20%"/>
            <w:tcBorders>
              <w:top w:val="none"/>
              <w:left w:val="none"/>
              <w:bottom w:val="single" w:color="D4875A" w:sz="2"/>
              <w:right w:val="none"/>
            </w:tcBorders>
            <w:shd w:fill="D4875A" w:val="clear"/>
            <w:tcMar>
              <w:top w:type="dxa" w:w="60"/>
              <w:left w:type="dxa" w:w="120"/>
              <w:bottom w:type="dxa" w:w="60"/>
              <w:right w:type="dxa" w:w="120"/>
            </w:tcMar>
          </w:tcPr>
          <w:p>
            <w:r>
              <w:rPr>
                <w:rFonts w:ascii="Calibri"/>
                <w:b/>
                <w:bCs/>
                <w:color w:val="FFFFFF"/>
                <w:sz w:val="21"/>
                <w:szCs w:val="21"/>
              </w:rPr>
              <w:t xml:space="preserve">KPI Target</w:t>
            </w:r>
          </w:p>
        </w:tc>
      </w:tr>
      <w:tr>
        <w:trPr>
          <w:cantSplit/>
        </w:trPr>
        <w:tc>
          <w:tcPr>
            <w:tcW w:type="pct" w:w="20%"/>
            <w:tcBorders>
              <w:top w:val="none"/>
              <w:left w:val="none"/>
              <w:bottom w:val="single" w:color="DDD0C8" w:sz="1"/>
              <w:right w:val="none"/>
            </w:tcBorders>
            <w:shd w:fill="F8F0EB" w:val="clear"/>
            <w:tcMar>
              <w:top w:type="dxa" w:w="60"/>
              <w:left w:type="dxa" w:w="120"/>
              <w:bottom w:type="dxa" w:w="60"/>
              <w:right w:type="dxa" w:w="120"/>
            </w:tcMar>
          </w:tcPr>
          <w:p>
            <w:r>
              <w:rPr>
                <w:rFonts w:ascii="Calibri"/>
                <w:color w:val="000000"/>
                <w:sz w:val="21"/>
                <w:szCs w:val="21"/>
              </w:rPr>
              <w:t xml:space="preserve">Brand Search</w:t>
            </w:r>
          </w:p>
        </w:tc>
        <w:tc>
          <w:tcPr>
            <w:tcW w:type="pct" w:w="20%"/>
            <w:tcBorders>
              <w:top w:val="none"/>
              <w:left w:val="none"/>
              <w:bottom w:val="single" w:color="DDD0C8" w:sz="1"/>
              <w:right w:val="none"/>
            </w:tcBorders>
            <w:shd w:fill="F8F0EB" w:val="clear"/>
            <w:tcMar>
              <w:top w:type="dxa" w:w="60"/>
              <w:left w:type="dxa" w:w="120"/>
              <w:bottom w:type="dxa" w:w="60"/>
              <w:right w:type="dxa" w:w="120"/>
            </w:tcMar>
          </w:tcPr>
          <w:p>
            <w:r>
              <w:rPr>
                <w:rFonts w:ascii="Calibri"/>
                <w:color w:val="000000"/>
                <w:sz w:val="21"/>
                <w:szCs w:val="21"/>
              </w:rPr>
              <w:t xml:space="preserve">Google Ads</w:t>
            </w:r>
          </w:p>
        </w:tc>
        <w:tc>
          <w:tcPr>
            <w:tcW w:type="pct" w:w="20%"/>
            <w:tcBorders>
              <w:top w:val="none"/>
              <w:left w:val="none"/>
              <w:bottom w:val="single" w:color="DDD0C8" w:sz="1"/>
              <w:right w:val="none"/>
            </w:tcBorders>
            <w:shd w:fill="F8F0EB" w:val="clear"/>
            <w:tcMar>
              <w:top w:type="dxa" w:w="60"/>
              <w:left w:type="dxa" w:w="120"/>
              <w:bottom w:type="dxa" w:w="60"/>
              <w:right w:type="dxa" w:w="120"/>
            </w:tcMar>
          </w:tcPr>
          <w:p>
            <w:r>
              <w:rPr>
                <w:rFonts w:ascii="Calibri"/>
                <w:color w:val="000000"/>
                <w:sz w:val="21"/>
                <w:szCs w:val="21"/>
              </w:rPr>
              <w:t xml:space="preserve">Users searching for TheOneWayGDA</w:t>
            </w:r>
          </w:p>
        </w:tc>
        <w:tc>
          <w:tcPr>
            <w:tcW w:type="pct" w:w="20%"/>
            <w:tcBorders>
              <w:top w:val="none"/>
              <w:left w:val="none"/>
              <w:bottom w:val="single" w:color="DDD0C8" w:sz="1"/>
              <w:right w:val="none"/>
            </w:tcBorders>
            <w:shd w:fill="F8F0EB" w:val="clear"/>
            <w:tcMar>
              <w:top w:type="dxa" w:w="60"/>
              <w:left w:type="dxa" w:w="120"/>
              <w:bottom w:type="dxa" w:w="60"/>
              <w:right w:type="dxa" w:w="120"/>
            </w:tcMar>
          </w:tcPr>
          <w:p>
            <w:r>
              <w:rPr>
                <w:rFonts w:ascii="Calibri"/>
                <w:color w:val="000000"/>
                <w:sz w:val="21"/>
                <w:szCs w:val="21"/>
              </w:rPr>
              <w:t xml:space="preserve">$500-$800</w:t>
            </w:r>
          </w:p>
        </w:tc>
        <w:tc>
          <w:tcPr>
            <w:tcW w:type="pct" w:w="20%"/>
            <w:tcBorders>
              <w:top w:val="none"/>
              <w:left w:val="none"/>
              <w:bottom w:val="single" w:color="DDD0C8" w:sz="1"/>
              <w:right w:val="none"/>
            </w:tcBorders>
            <w:shd w:fill="F8F0EB" w:val="clear"/>
            <w:tcMar>
              <w:top w:type="dxa" w:w="60"/>
              <w:left w:type="dxa" w:w="120"/>
              <w:bottom w:type="dxa" w:w="60"/>
              <w:right w:type="dxa" w:w="120"/>
            </w:tcMar>
          </w:tcPr>
          <w:p>
            <w:r>
              <w:rPr>
                <w:rFonts w:ascii="Calibri"/>
                <w:color w:val="000000"/>
                <w:sz w:val="21"/>
                <w:szCs w:val="21"/>
              </w:rPr>
              <w:t xml:space="preserve">CPC &lt; $1.50, CTR &gt; 15%</w:t>
            </w:r>
          </w:p>
        </w:tc>
      </w:tr>
      <w:tr>
        <w:trPr>
          <w:cantSplit/>
        </w:trPr>
        <w:tc>
          <w:tcPr>
            <w:tcW w:type="pct" w:w="20%"/>
            <w:tcBorders>
              <w:top w:val="none"/>
              <w:left w:val="none"/>
              <w:bottom w:val="single" w:color="DDD0C8" w:sz="1"/>
              <w:right w:val="none"/>
            </w:tcBorders>
            <w:shd w:fill="FFFFFF" w:val="clear"/>
            <w:tcMar>
              <w:top w:type="dxa" w:w="60"/>
              <w:left w:type="dxa" w:w="120"/>
              <w:bottom w:type="dxa" w:w="60"/>
              <w:right w:type="dxa" w:w="120"/>
            </w:tcMar>
          </w:tcPr>
          <w:p>
            <w:r>
              <w:rPr>
                <w:rFonts w:ascii="Calibri"/>
                <w:color w:val="000000"/>
                <w:sz w:val="21"/>
                <w:szCs w:val="21"/>
              </w:rPr>
              <w:t xml:space="preserve">Category Search</w:t>
            </w:r>
          </w:p>
        </w:tc>
        <w:tc>
          <w:tcPr>
            <w:tcW w:type="pct" w:w="20%"/>
            <w:tcBorders>
              <w:top w:val="none"/>
              <w:left w:val="none"/>
              <w:bottom w:val="single" w:color="DDD0C8" w:sz="1"/>
              <w:right w:val="none"/>
            </w:tcBorders>
            <w:shd w:fill="FFFFFF" w:val="clear"/>
            <w:tcMar>
              <w:top w:type="dxa" w:w="60"/>
              <w:left w:type="dxa" w:w="120"/>
              <w:bottom w:type="dxa" w:w="60"/>
              <w:right w:type="dxa" w:w="120"/>
            </w:tcMar>
          </w:tcPr>
          <w:p>
            <w:r>
              <w:rPr>
                <w:rFonts w:ascii="Calibri"/>
                <w:color w:val="000000"/>
                <w:sz w:val="21"/>
                <w:szCs w:val="21"/>
              </w:rPr>
              <w:t xml:space="preserve">Google Ads</w:t>
            </w:r>
          </w:p>
        </w:tc>
        <w:tc>
          <w:tcPr>
            <w:tcW w:type="pct" w:w="20%"/>
            <w:tcBorders>
              <w:top w:val="none"/>
              <w:left w:val="none"/>
              <w:bottom w:val="single" w:color="DDD0C8" w:sz="1"/>
              <w:right w:val="none"/>
            </w:tcBorders>
            <w:shd w:fill="FFFFFF" w:val="clear"/>
            <w:tcMar>
              <w:top w:type="dxa" w:w="60"/>
              <w:left w:type="dxa" w:w="120"/>
              <w:bottom w:type="dxa" w:w="60"/>
              <w:right w:type="dxa" w:w="120"/>
            </w:tcMar>
          </w:tcPr>
          <w:p>
            <w:r>
              <w:rPr>
                <w:rFonts w:ascii="Calibri"/>
                <w:color w:val="000000"/>
                <w:sz w:val="21"/>
                <w:szCs w:val="21"/>
              </w:rPr>
              <w:t xml:space="preserve">AI model comparison seekers</w:t>
            </w:r>
          </w:p>
        </w:tc>
        <w:tc>
          <w:tcPr>
            <w:tcW w:type="pct" w:w="20%"/>
            <w:tcBorders>
              <w:top w:val="none"/>
              <w:left w:val="none"/>
              <w:bottom w:val="single" w:color="DDD0C8" w:sz="1"/>
              <w:right w:val="none"/>
            </w:tcBorders>
            <w:shd w:fill="FFFFFF" w:val="clear"/>
            <w:tcMar>
              <w:top w:type="dxa" w:w="60"/>
              <w:left w:type="dxa" w:w="120"/>
              <w:bottom w:type="dxa" w:w="60"/>
              <w:right w:type="dxa" w:w="120"/>
            </w:tcMar>
          </w:tcPr>
          <w:p>
            <w:r>
              <w:rPr>
                <w:rFonts w:ascii="Calibri"/>
                <w:color w:val="000000"/>
                <w:sz w:val="21"/>
                <w:szCs w:val="21"/>
              </w:rPr>
              <w:t xml:space="preserve">$2,000-$3,000</w:t>
            </w:r>
          </w:p>
        </w:tc>
        <w:tc>
          <w:tcPr>
            <w:tcW w:type="pct" w:w="20%"/>
            <w:tcBorders>
              <w:top w:val="none"/>
              <w:left w:val="none"/>
              <w:bottom w:val="single" w:color="DDD0C8" w:sz="1"/>
              <w:right w:val="none"/>
            </w:tcBorders>
            <w:shd w:fill="FFFFFF" w:val="clear"/>
            <w:tcMar>
              <w:top w:type="dxa" w:w="60"/>
              <w:left w:type="dxa" w:w="120"/>
              <w:bottom w:type="dxa" w:w="60"/>
              <w:right w:type="dxa" w:w="120"/>
            </w:tcMar>
          </w:tcPr>
          <w:p>
            <w:r>
              <w:rPr>
                <w:rFonts w:ascii="Calibri"/>
                <w:color w:val="000000"/>
                <w:sz w:val="21"/>
                <w:szCs w:val="21"/>
              </w:rPr>
              <w:t xml:space="preserve">CPA &lt; $50, Conv. rate &gt; 3%</w:t>
            </w:r>
          </w:p>
        </w:tc>
      </w:tr>
      <w:tr>
        <w:trPr>
          <w:cantSplit/>
        </w:trPr>
        <w:tc>
          <w:tcPr>
            <w:tcW w:type="pct" w:w="20%"/>
            <w:tcBorders>
              <w:top w:val="none"/>
              <w:left w:val="none"/>
              <w:bottom w:val="single" w:color="DDD0C8" w:sz="1"/>
              <w:right w:val="none"/>
            </w:tcBorders>
            <w:shd w:fill="F8F0EB" w:val="clear"/>
            <w:tcMar>
              <w:top w:type="dxa" w:w="60"/>
              <w:left w:type="dxa" w:w="120"/>
              <w:bottom w:type="dxa" w:w="60"/>
              <w:right w:type="dxa" w:w="120"/>
            </w:tcMar>
          </w:tcPr>
          <w:p>
            <w:r>
              <w:rPr>
                <w:rFonts w:ascii="Calibri"/>
                <w:color w:val="000000"/>
                <w:sz w:val="21"/>
                <w:szCs w:val="21"/>
              </w:rPr>
              <w:t xml:space="preserve">Competitor Conquest</w:t>
            </w:r>
          </w:p>
        </w:tc>
        <w:tc>
          <w:tcPr>
            <w:tcW w:type="pct" w:w="20%"/>
            <w:tcBorders>
              <w:top w:val="none"/>
              <w:left w:val="none"/>
              <w:bottom w:val="single" w:color="DDD0C8" w:sz="1"/>
              <w:right w:val="none"/>
            </w:tcBorders>
            <w:shd w:fill="F8F0EB" w:val="clear"/>
            <w:tcMar>
              <w:top w:type="dxa" w:w="60"/>
              <w:left w:type="dxa" w:w="120"/>
              <w:bottom w:type="dxa" w:w="60"/>
              <w:right w:type="dxa" w:w="120"/>
            </w:tcMar>
          </w:tcPr>
          <w:p>
            <w:r>
              <w:rPr>
                <w:rFonts w:ascii="Calibri"/>
                <w:color w:val="000000"/>
                <w:sz w:val="21"/>
                <w:szCs w:val="21"/>
              </w:rPr>
              <w:t xml:space="preserve">Google Ads</w:t>
            </w:r>
          </w:p>
        </w:tc>
        <w:tc>
          <w:tcPr>
            <w:tcW w:type="pct" w:w="20%"/>
            <w:tcBorders>
              <w:top w:val="none"/>
              <w:left w:val="none"/>
              <w:bottom w:val="single" w:color="DDD0C8" w:sz="1"/>
              <w:right w:val="none"/>
            </w:tcBorders>
            <w:shd w:fill="F8F0EB" w:val="clear"/>
            <w:tcMar>
              <w:top w:type="dxa" w:w="60"/>
              <w:left w:type="dxa" w:w="120"/>
              <w:bottom w:type="dxa" w:w="60"/>
              <w:right w:type="dxa" w:w="120"/>
            </w:tcMar>
          </w:tcPr>
          <w:p>
            <w:r>
              <w:rPr>
                <w:rFonts w:ascii="Calibri"/>
                <w:color w:val="000000"/>
                <w:sz w:val="21"/>
                <w:szCs w:val="21"/>
              </w:rPr>
              <w:t xml:space="preserve">Users searching HuggingFace, SPSS</w:t>
            </w:r>
          </w:p>
        </w:tc>
        <w:tc>
          <w:tcPr>
            <w:tcW w:type="pct" w:w="20%"/>
            <w:tcBorders>
              <w:top w:val="none"/>
              <w:left w:val="none"/>
              <w:bottom w:val="single" w:color="DDD0C8" w:sz="1"/>
              <w:right w:val="none"/>
            </w:tcBorders>
            <w:shd w:fill="F8F0EB" w:val="clear"/>
            <w:tcMar>
              <w:top w:type="dxa" w:w="60"/>
              <w:left w:type="dxa" w:w="120"/>
              <w:bottom w:type="dxa" w:w="60"/>
              <w:right w:type="dxa" w:w="120"/>
            </w:tcMar>
          </w:tcPr>
          <w:p>
            <w:r>
              <w:rPr>
                <w:rFonts w:ascii="Calibri"/>
                <w:color w:val="000000"/>
                <w:sz w:val="21"/>
                <w:szCs w:val="21"/>
              </w:rPr>
              <w:t xml:space="preserve">$800-$1,200</w:t>
            </w:r>
          </w:p>
        </w:tc>
        <w:tc>
          <w:tcPr>
            <w:tcW w:type="pct" w:w="20%"/>
            <w:tcBorders>
              <w:top w:val="none"/>
              <w:left w:val="none"/>
              <w:bottom w:val="single" w:color="DDD0C8" w:sz="1"/>
              <w:right w:val="none"/>
            </w:tcBorders>
            <w:shd w:fill="F8F0EB" w:val="clear"/>
            <w:tcMar>
              <w:top w:type="dxa" w:w="60"/>
              <w:left w:type="dxa" w:w="120"/>
              <w:bottom w:type="dxa" w:w="60"/>
              <w:right w:type="dxa" w:w="120"/>
            </w:tcMar>
          </w:tcPr>
          <w:p>
            <w:r>
              <w:rPr>
                <w:rFonts w:ascii="Calibri"/>
                <w:color w:val="000000"/>
                <w:sz w:val="21"/>
                <w:szCs w:val="21"/>
              </w:rPr>
              <w:t xml:space="preserve">Share of voice &gt; 15%</w:t>
            </w:r>
          </w:p>
        </w:tc>
      </w:tr>
      <w:tr>
        <w:trPr>
          <w:cantSplit/>
        </w:trPr>
        <w:tc>
          <w:tcPr>
            <w:tcW w:type="pct" w:w="20%"/>
            <w:tcBorders>
              <w:top w:val="none"/>
              <w:left w:val="none"/>
              <w:bottom w:val="single" w:color="DDD0C8" w:sz="1"/>
              <w:right w:val="none"/>
            </w:tcBorders>
            <w:shd w:fill="FFFFFF" w:val="clear"/>
            <w:tcMar>
              <w:top w:type="dxa" w:w="60"/>
              <w:left w:type="dxa" w:w="120"/>
              <w:bottom w:type="dxa" w:w="60"/>
              <w:right w:type="dxa" w:w="120"/>
            </w:tcMar>
          </w:tcPr>
          <w:p>
            <w:r>
              <w:rPr>
                <w:rFonts w:ascii="Calibri"/>
                <w:color w:val="000000"/>
                <w:sz w:val="21"/>
                <w:szCs w:val="21"/>
              </w:rPr>
              <w:t xml:space="preserve">Enterprise Awareness</w:t>
            </w:r>
          </w:p>
        </w:tc>
        <w:tc>
          <w:tcPr>
            <w:tcW w:type="pct" w:w="20%"/>
            <w:tcBorders>
              <w:top w:val="none"/>
              <w:left w:val="none"/>
              <w:bottom w:val="single" w:color="DDD0C8" w:sz="1"/>
              <w:right w:val="none"/>
            </w:tcBorders>
            <w:shd w:fill="FFFFFF" w:val="clear"/>
            <w:tcMar>
              <w:top w:type="dxa" w:w="60"/>
              <w:left w:type="dxa" w:w="120"/>
              <w:bottom w:type="dxa" w:w="60"/>
              <w:right w:type="dxa" w:w="120"/>
            </w:tcMar>
          </w:tcPr>
          <w:p>
            <w:r>
              <w:rPr>
                <w:rFonts w:ascii="Calibri"/>
                <w:color w:val="000000"/>
                <w:sz w:val="21"/>
                <w:szCs w:val="21"/>
              </w:rPr>
              <w:t xml:space="preserve">LinkedIn</w:t>
            </w:r>
          </w:p>
        </w:tc>
        <w:tc>
          <w:tcPr>
            <w:tcW w:type="pct" w:w="20%"/>
            <w:tcBorders>
              <w:top w:val="none"/>
              <w:left w:val="none"/>
              <w:bottom w:val="single" w:color="DDD0C8" w:sz="1"/>
              <w:right w:val="none"/>
            </w:tcBorders>
            <w:shd w:fill="FFFFFF" w:val="clear"/>
            <w:tcMar>
              <w:top w:type="dxa" w:w="60"/>
              <w:left w:type="dxa" w:w="120"/>
              <w:bottom w:type="dxa" w:w="60"/>
              <w:right w:type="dxa" w:w="120"/>
            </w:tcMar>
          </w:tcPr>
          <w:p>
            <w:r>
              <w:rPr>
                <w:rFonts w:ascii="Calibri"/>
                <w:color w:val="000000"/>
                <w:sz w:val="21"/>
                <w:szCs w:val="21"/>
              </w:rPr>
              <w:t xml:space="preserve">CTOs, VP Eng, 200+ employees</w:t>
            </w:r>
          </w:p>
        </w:tc>
        <w:tc>
          <w:tcPr>
            <w:tcW w:type="pct" w:w="20%"/>
            <w:tcBorders>
              <w:top w:val="none"/>
              <w:left w:val="none"/>
              <w:bottom w:val="single" w:color="DDD0C8" w:sz="1"/>
              <w:right w:val="none"/>
            </w:tcBorders>
            <w:shd w:fill="FFFFFF" w:val="clear"/>
            <w:tcMar>
              <w:top w:type="dxa" w:w="60"/>
              <w:left w:type="dxa" w:w="120"/>
              <w:bottom w:type="dxa" w:w="60"/>
              <w:right w:type="dxa" w:w="120"/>
            </w:tcMar>
          </w:tcPr>
          <w:p>
            <w:r>
              <w:rPr>
                <w:rFonts w:ascii="Calibri"/>
                <w:color w:val="000000"/>
                <w:sz w:val="21"/>
                <w:szCs w:val="21"/>
              </w:rPr>
              <w:t xml:space="preserve">$2,000-$3,000</w:t>
            </w:r>
          </w:p>
        </w:tc>
        <w:tc>
          <w:tcPr>
            <w:tcW w:type="pct" w:w="20%"/>
            <w:tcBorders>
              <w:top w:val="none"/>
              <w:left w:val="none"/>
              <w:bottom w:val="single" w:color="DDD0C8" w:sz="1"/>
              <w:right w:val="none"/>
            </w:tcBorders>
            <w:shd w:fill="FFFFFF" w:val="clear"/>
            <w:tcMar>
              <w:top w:type="dxa" w:w="60"/>
              <w:left w:type="dxa" w:w="120"/>
              <w:bottom w:type="dxa" w:w="60"/>
              <w:right w:type="dxa" w:w="120"/>
            </w:tcMar>
          </w:tcPr>
          <w:p>
            <w:r>
              <w:rPr>
                <w:rFonts w:ascii="Calibri"/>
                <w:color w:val="000000"/>
                <w:sz w:val="21"/>
                <w:szCs w:val="21"/>
              </w:rPr>
              <w:t xml:space="preserve">CPL &lt; $120, MQL rate &gt; 20%</w:t>
            </w:r>
          </w:p>
        </w:tc>
      </w:tr>
      <w:tr>
        <w:trPr>
          <w:cantSplit/>
        </w:trPr>
        <w:tc>
          <w:tcPr>
            <w:tcW w:type="pct" w:w="20%"/>
            <w:tcBorders>
              <w:top w:val="none"/>
              <w:left w:val="none"/>
              <w:bottom w:val="single" w:color="DDD0C8" w:sz="1"/>
              <w:right w:val="none"/>
            </w:tcBorders>
            <w:shd w:fill="F8F0EB" w:val="clear"/>
            <w:tcMar>
              <w:top w:type="dxa" w:w="60"/>
              <w:left w:type="dxa" w:w="120"/>
              <w:bottom w:type="dxa" w:w="60"/>
              <w:right w:type="dxa" w:w="120"/>
            </w:tcMar>
          </w:tcPr>
          <w:p>
            <w:r>
              <w:rPr>
                <w:rFonts w:ascii="Calibri"/>
                <w:color w:val="000000"/>
                <w:sz w:val="21"/>
                <w:szCs w:val="21"/>
              </w:rPr>
              <w:t xml:space="preserve">Community Engagement</w:t>
            </w:r>
          </w:p>
        </w:tc>
        <w:tc>
          <w:tcPr>
            <w:tcW w:type="pct" w:w="20%"/>
            <w:tcBorders>
              <w:top w:val="none"/>
              <w:left w:val="none"/>
              <w:bottom w:val="single" w:color="DDD0C8" w:sz="1"/>
              <w:right w:val="none"/>
            </w:tcBorders>
            <w:shd w:fill="F8F0EB" w:val="clear"/>
            <w:tcMar>
              <w:top w:type="dxa" w:w="60"/>
              <w:left w:type="dxa" w:w="120"/>
              <w:bottom w:type="dxa" w:w="60"/>
              <w:right w:type="dxa" w:w="120"/>
            </w:tcMar>
          </w:tcPr>
          <w:p>
            <w:r>
              <w:rPr>
                <w:rFonts w:ascii="Calibri"/>
                <w:color w:val="000000"/>
                <w:sz w:val="21"/>
                <w:szCs w:val="21"/>
              </w:rPr>
              <w:t xml:space="preserve">Reddit</w:t>
            </w:r>
          </w:p>
        </w:tc>
        <w:tc>
          <w:tcPr>
            <w:tcW w:type="pct" w:w="20%"/>
            <w:tcBorders>
              <w:top w:val="none"/>
              <w:left w:val="none"/>
              <w:bottom w:val="single" w:color="DDD0C8" w:sz="1"/>
              <w:right w:val="none"/>
            </w:tcBorders>
            <w:shd w:fill="F8F0EB" w:val="clear"/>
            <w:tcMar>
              <w:top w:type="dxa" w:w="60"/>
              <w:left w:type="dxa" w:w="120"/>
              <w:bottom w:type="dxa" w:w="60"/>
              <w:right w:type="dxa" w:w="120"/>
            </w:tcMar>
          </w:tcPr>
          <w:p>
            <w:r>
              <w:rPr>
                <w:rFonts w:ascii="Calibri"/>
                <w:color w:val="000000"/>
                <w:sz w:val="21"/>
                <w:szCs w:val="21"/>
              </w:rPr>
              <w:t xml:space="preserve">r/MachineLearning, r/artificial</w:t>
            </w:r>
          </w:p>
        </w:tc>
        <w:tc>
          <w:tcPr>
            <w:tcW w:type="pct" w:w="20%"/>
            <w:tcBorders>
              <w:top w:val="none"/>
              <w:left w:val="none"/>
              <w:bottom w:val="single" w:color="DDD0C8" w:sz="1"/>
              <w:right w:val="none"/>
            </w:tcBorders>
            <w:shd w:fill="F8F0EB" w:val="clear"/>
            <w:tcMar>
              <w:top w:type="dxa" w:w="60"/>
              <w:left w:type="dxa" w:w="120"/>
              <w:bottom w:type="dxa" w:w="60"/>
              <w:right w:type="dxa" w:w="120"/>
            </w:tcMar>
          </w:tcPr>
          <w:p>
            <w:r>
              <w:rPr>
                <w:rFonts w:ascii="Calibri"/>
                <w:color w:val="000000"/>
                <w:sz w:val="21"/>
                <w:szCs w:val="21"/>
              </w:rPr>
              <w:t xml:space="preserve">$500-$1,000</w:t>
            </w:r>
          </w:p>
        </w:tc>
        <w:tc>
          <w:tcPr>
            <w:tcW w:type="pct" w:w="20%"/>
            <w:tcBorders>
              <w:top w:val="none"/>
              <w:left w:val="none"/>
              <w:bottom w:val="single" w:color="DDD0C8" w:sz="1"/>
              <w:right w:val="none"/>
            </w:tcBorders>
            <w:shd w:fill="F8F0EB" w:val="clear"/>
            <w:tcMar>
              <w:top w:type="dxa" w:w="60"/>
              <w:left w:type="dxa" w:w="120"/>
              <w:bottom w:type="dxa" w:w="60"/>
              <w:right w:type="dxa" w:w="120"/>
            </w:tcMar>
          </w:tcPr>
          <w:p>
            <w:r>
              <w:rPr>
                <w:rFonts w:ascii="Calibri"/>
                <w:color w:val="000000"/>
                <w:sz w:val="21"/>
                <w:szCs w:val="21"/>
              </w:rPr>
              <w:t xml:space="preserve">CPC &lt; $0.80, Eng. rate &gt; 3%</w:t>
            </w:r>
          </w:p>
        </w:tc>
      </w:tr>
      <w:tr>
        <w:trPr>
          <w:cantSplit/>
        </w:trPr>
        <w:tc>
          <w:tcPr>
            <w:tcW w:type="pct" w:w="20%"/>
            <w:tcBorders>
              <w:top w:val="none"/>
              <w:left w:val="none"/>
              <w:bottom w:val="single" w:color="DDD0C8" w:sz="1"/>
              <w:right w:val="none"/>
            </w:tcBorders>
            <w:shd w:fill="FFFFFF" w:val="clear"/>
            <w:tcMar>
              <w:top w:type="dxa" w:w="60"/>
              <w:left w:type="dxa" w:w="120"/>
              <w:bottom w:type="dxa" w:w="60"/>
              <w:right w:type="dxa" w:w="120"/>
            </w:tcMar>
          </w:tcPr>
          <w:p>
            <w:r>
              <w:rPr>
                <w:rFonts w:ascii="Calibri"/>
                <w:color w:val="000000"/>
                <w:sz w:val="21"/>
                <w:szCs w:val="21"/>
              </w:rPr>
              <w:t xml:space="preserve">Retargeting</w:t>
            </w:r>
          </w:p>
        </w:tc>
        <w:tc>
          <w:tcPr>
            <w:tcW w:type="pct" w:w="20%"/>
            <w:tcBorders>
              <w:top w:val="none"/>
              <w:left w:val="none"/>
              <w:bottom w:val="single" w:color="DDD0C8" w:sz="1"/>
              <w:right w:val="none"/>
            </w:tcBorders>
            <w:shd w:fill="FFFFFF" w:val="clear"/>
            <w:tcMar>
              <w:top w:type="dxa" w:w="60"/>
              <w:left w:type="dxa" w:w="120"/>
              <w:bottom w:type="dxa" w:w="60"/>
              <w:right w:type="dxa" w:w="120"/>
            </w:tcMar>
          </w:tcPr>
          <w:p>
            <w:r>
              <w:rPr>
                <w:rFonts w:ascii="Calibri"/>
                <w:color w:val="000000"/>
                <w:sz w:val="21"/>
                <w:szCs w:val="21"/>
              </w:rPr>
              <w:t xml:space="preserve">Google Display</w:t>
            </w:r>
          </w:p>
        </w:tc>
        <w:tc>
          <w:tcPr>
            <w:tcW w:type="pct" w:w="20%"/>
            <w:tcBorders>
              <w:top w:val="none"/>
              <w:left w:val="none"/>
              <w:bottom w:val="single" w:color="DDD0C8" w:sz="1"/>
              <w:right w:val="none"/>
            </w:tcBorders>
            <w:shd w:fill="FFFFFF" w:val="clear"/>
            <w:tcMar>
              <w:top w:type="dxa" w:w="60"/>
              <w:left w:type="dxa" w:w="120"/>
              <w:bottom w:type="dxa" w:w="60"/>
              <w:right w:type="dxa" w:w="120"/>
            </w:tcMar>
          </w:tcPr>
          <w:p>
            <w:r>
              <w:rPr>
                <w:rFonts w:ascii="Calibri"/>
                <w:color w:val="000000"/>
                <w:sz w:val="21"/>
                <w:szCs w:val="21"/>
              </w:rPr>
              <w:t xml:space="preserve">Site visitors, non-converters</w:t>
            </w:r>
          </w:p>
        </w:tc>
        <w:tc>
          <w:tcPr>
            <w:tcW w:type="pct" w:w="20%"/>
            <w:tcBorders>
              <w:top w:val="none"/>
              <w:left w:val="none"/>
              <w:bottom w:val="single" w:color="DDD0C8" w:sz="1"/>
              <w:right w:val="none"/>
            </w:tcBorders>
            <w:shd w:fill="FFFFFF" w:val="clear"/>
            <w:tcMar>
              <w:top w:type="dxa" w:w="60"/>
              <w:left w:type="dxa" w:w="120"/>
              <w:bottom w:type="dxa" w:w="60"/>
              <w:right w:type="dxa" w:w="120"/>
            </w:tcMar>
          </w:tcPr>
          <w:p>
            <w:r>
              <w:rPr>
                <w:rFonts w:ascii="Calibri"/>
                <w:color w:val="000000"/>
                <w:sz w:val="21"/>
                <w:szCs w:val="21"/>
              </w:rPr>
              <w:t xml:space="preserve">$1,000-$1,500</w:t>
            </w:r>
          </w:p>
        </w:tc>
        <w:tc>
          <w:tcPr>
            <w:tcW w:type="pct" w:w="20%"/>
            <w:tcBorders>
              <w:top w:val="none"/>
              <w:left w:val="none"/>
              <w:bottom w:val="single" w:color="DDD0C8" w:sz="1"/>
              <w:right w:val="none"/>
            </w:tcBorders>
            <w:shd w:fill="FFFFFF" w:val="clear"/>
            <w:tcMar>
              <w:top w:type="dxa" w:w="60"/>
              <w:left w:type="dxa" w:w="120"/>
              <w:bottom w:type="dxa" w:w="60"/>
              <w:right w:type="dxa" w:w="120"/>
            </w:tcMar>
          </w:tcPr>
          <w:p>
            <w:r>
              <w:rPr>
                <w:rFonts w:ascii="Calibri"/>
                <w:color w:val="000000"/>
                <w:sz w:val="21"/>
                <w:szCs w:val="21"/>
              </w:rPr>
              <w:t xml:space="preserve">ROAS &gt; 4x, CTR &gt; 0.5%</w:t>
            </w:r>
          </w:p>
        </w:tc>
      </w:tr>
      <w:tr>
        <w:trPr>
          <w:cantSplit/>
        </w:trPr>
        <w:tc>
          <w:tcPr>
            <w:tcW w:type="pct" w:w="20%"/>
            <w:tcBorders>
              <w:top w:val="none"/>
              <w:left w:val="none"/>
              <w:bottom w:val="single" w:color="DDD0C8" w:sz="1"/>
              <w:right w:val="none"/>
            </w:tcBorders>
            <w:shd w:fill="F8F0EB" w:val="clear"/>
            <w:tcMar>
              <w:top w:type="dxa" w:w="60"/>
              <w:left w:type="dxa" w:w="120"/>
              <w:bottom w:type="dxa" w:w="60"/>
              <w:right w:type="dxa" w:w="120"/>
            </w:tcMar>
          </w:tcPr>
          <w:p>
            <w:r>
              <w:rPr>
                <w:rFonts w:ascii="Calibri"/>
                <w:color w:val="000000"/>
                <w:sz w:val="21"/>
                <w:szCs w:val="21"/>
              </w:rPr>
              <w:t xml:space="preserve">YouTube Pre-roll</w:t>
            </w:r>
          </w:p>
        </w:tc>
        <w:tc>
          <w:tcPr>
            <w:tcW w:type="pct" w:w="20%"/>
            <w:tcBorders>
              <w:top w:val="none"/>
              <w:left w:val="none"/>
              <w:bottom w:val="single" w:color="DDD0C8" w:sz="1"/>
              <w:right w:val="none"/>
            </w:tcBorders>
            <w:shd w:fill="F8F0EB" w:val="clear"/>
            <w:tcMar>
              <w:top w:type="dxa" w:w="60"/>
              <w:left w:type="dxa" w:w="120"/>
              <w:bottom w:type="dxa" w:w="60"/>
              <w:right w:type="dxa" w:w="120"/>
            </w:tcMar>
          </w:tcPr>
          <w:p>
            <w:r>
              <w:rPr>
                <w:rFonts w:ascii="Calibri"/>
                <w:color w:val="000000"/>
                <w:sz w:val="21"/>
                <w:szCs w:val="21"/>
              </w:rPr>
              <w:t xml:space="preserve">YouTube</w:t>
            </w:r>
          </w:p>
        </w:tc>
        <w:tc>
          <w:tcPr>
            <w:tcW w:type="pct" w:w="20%"/>
            <w:tcBorders>
              <w:top w:val="none"/>
              <w:left w:val="none"/>
              <w:bottom w:val="single" w:color="DDD0C8" w:sz="1"/>
              <w:right w:val="none"/>
            </w:tcBorders>
            <w:shd w:fill="F8F0EB" w:val="clear"/>
            <w:tcMar>
              <w:top w:type="dxa" w:w="60"/>
              <w:left w:type="dxa" w:w="120"/>
              <w:bottom w:type="dxa" w:w="60"/>
              <w:right w:type="dxa" w:w="120"/>
            </w:tcMar>
          </w:tcPr>
          <w:p>
            <w:r>
              <w:rPr>
                <w:rFonts w:ascii="Calibri"/>
                <w:color w:val="000000"/>
                <w:sz w:val="21"/>
                <w:szCs w:val="21"/>
              </w:rPr>
              <w:t xml:space="preserve">AI/ML tutorial viewers</w:t>
            </w:r>
          </w:p>
        </w:tc>
        <w:tc>
          <w:tcPr>
            <w:tcW w:type="pct" w:w="20%"/>
            <w:tcBorders>
              <w:top w:val="none"/>
              <w:left w:val="none"/>
              <w:bottom w:val="single" w:color="DDD0C8" w:sz="1"/>
              <w:right w:val="none"/>
            </w:tcBorders>
            <w:shd w:fill="F8F0EB" w:val="clear"/>
            <w:tcMar>
              <w:top w:type="dxa" w:w="60"/>
              <w:left w:type="dxa" w:w="120"/>
              <w:bottom w:type="dxa" w:w="60"/>
              <w:right w:type="dxa" w:w="120"/>
            </w:tcMar>
          </w:tcPr>
          <w:p>
            <w:r>
              <w:rPr>
                <w:rFonts w:ascii="Calibri"/>
                <w:color w:val="000000"/>
                <w:sz w:val="21"/>
                <w:szCs w:val="21"/>
              </w:rPr>
              <w:t xml:space="preserve">$1,000-$2,000</w:t>
            </w:r>
          </w:p>
        </w:tc>
        <w:tc>
          <w:tcPr>
            <w:tcW w:type="pct" w:w="20%"/>
            <w:tcBorders>
              <w:top w:val="none"/>
              <w:left w:val="none"/>
              <w:bottom w:val="single" w:color="DDD0C8" w:sz="1"/>
              <w:right w:val="none"/>
            </w:tcBorders>
            <w:shd w:fill="F8F0EB" w:val="clear"/>
            <w:tcMar>
              <w:top w:type="dxa" w:w="60"/>
              <w:left w:type="dxa" w:w="120"/>
              <w:bottom w:type="dxa" w:w="60"/>
              <w:right w:type="dxa" w:w="120"/>
            </w:tcMar>
          </w:tcPr>
          <w:p>
            <w:r>
              <w:rPr>
                <w:rFonts w:ascii="Calibri"/>
                <w:color w:val="000000"/>
                <w:sz w:val="21"/>
                <w:szCs w:val="21"/>
              </w:rPr>
              <w:t xml:space="preserve">View rate &gt; 25%, VTR &gt; 10%</w:t>
            </w:r>
          </w:p>
        </w:tc>
      </w:tr>
    </w:tbl>
    <w:p>
      <w:pPr>
        <w:spacing w:after="60" w:before="60"/>
      </w:pPr>
    </w:p>
    <w:p>
      <w:pPr>
        <w:pStyle w:val="Heading2"/>
        <w:spacing w:after="120" w:before="280" w:line="312"/>
      </w:pPr>
      <w:bookmarkStart w:id="100030" w:name="_Toc100030"/>
      <w:r>
        <w:rPr>
          <w:rFonts w:ascii="Times New Roman"/>
          <w:b/>
          <w:bCs/>
          <w:color w:val="0B1220"/>
          <w:sz w:val="28"/>
          <w:szCs w:val="28"/>
        </w:rPr>
        <w:t xml:space="preserve">4.3 Creative Strategy &amp; Testing</w:t>
      </w:r>
      <w:bookmarkEnd w:id="100030"/>
    </w:p>
    <w:p>
      <w:pPr>
        <w:spacing w:after="120" w:line="312"/>
        <w:ind w:firstLine="480"/>
        <w:jc w:val="both"/>
      </w:pPr>
      <w:r>
        <w:rPr>
          <w:rFonts w:ascii="Times New Roman"/>
          <w:color w:val="000000"/>
          <w:sz w:val="24"/>
          <w:szCs w:val="24"/>
        </w:rPr>
        <w:t xml:space="preserve">Ad creative should follow a data-driven testing methodology with systematic variation and measurement. Each campaign should test at least three variants of headline copy, two visual treatments, and two CTA variations simultaneously. For Google Search Ads, this means testing responsive search ads with different value proposition angles (performance-focused: 'Compare 19+ AI Models Across 6 Benchmarks'; cost-focused: 'Find the Most Cost-Effective AI Model'; authority-focused: 'The Most Comprehensive AI Evaluation Platform'). For display and social ads, visual treatments should include data visualizations from actual benchmark results, screenshot mockups of the workspace interface, and lifestyle imagery of AI professionals using the platform.</w:t>
      </w:r>
    </w:p>
    <w:p>
      <w:pPr>
        <w:spacing w:after="120" w:line="312"/>
        <w:ind w:firstLine="480"/>
        <w:jc w:val="both"/>
      </w:pPr>
      <w:r>
        <w:rPr>
          <w:rFonts w:ascii="Times New Roman"/>
          <w:color w:val="000000"/>
          <w:sz w:val="24"/>
          <w:szCs w:val="24"/>
        </w:rPr>
        <w:t xml:space="preserve">All creative should be designed with platform-specific best practices in mind. Google Search ads need to match the search query intent precisely and include relevant extensions. LinkedIn ads should use professional imagery and language that resonates with business decision-makers. Reddit ads should adopt an authentic, community-friendly tone that provides genuine value. A creative asset library should be maintained with templates, brand guidelines, and approved messaging frameworks to ensure consistency while enabling rapid testing and iteration.</w:t>
      </w:r>
    </w:p>
    <w:p>
      <w:pPr>
        <w:pStyle w:val="Heading1"/>
        <w:spacing w:after="160" w:before="360" w:line="312"/>
      </w:pPr>
      <w:bookmarkStart w:id="100031" w:name="_Toc100031"/>
      <w:r>
        <w:rPr>
          <w:rFonts w:ascii="Times New Roman"/>
          <w:b/>
          <w:bCs/>
          <w:color w:val="0B1220"/>
          <w:sz w:val="32"/>
          <w:szCs w:val="32"/>
        </w:rPr>
        <w:t xml:space="preserve">5. Lead Generation &amp; Qualification</w:t>
      </w:r>
      <w:bookmarkEnd w:id="100031"/>
    </w:p>
    <w:p>
      <w:pPr>
        <w:pStyle w:val="Heading2"/>
        <w:spacing w:after="120" w:before="280" w:line="312"/>
      </w:pPr>
      <w:bookmarkStart w:id="100032" w:name="_Toc100032"/>
      <w:r>
        <w:rPr>
          <w:rFonts w:ascii="Times New Roman"/>
          <w:b/>
          <w:bCs/>
          <w:color w:val="0B1220"/>
          <w:sz w:val="28"/>
          <w:szCs w:val="28"/>
        </w:rPr>
        <w:t xml:space="preserve">5.1 Lead Generation Strategy</w:t>
      </w:r>
      <w:bookmarkEnd w:id="100032"/>
    </w:p>
    <w:p>
      <w:pPr>
        <w:spacing w:after="120" w:line="312"/>
        <w:ind w:firstLine="480"/>
        <w:jc w:val="both"/>
      </w:pPr>
      <w:r>
        <w:rPr>
          <w:rFonts w:ascii="Times New Roman"/>
          <w:color w:val="000000"/>
          <w:sz w:val="24"/>
          <w:szCs w:val="24"/>
        </w:rPr>
        <w:t xml:space="preserve">Lead generation for TheOneWayGDA operates on a freemium model where the product itself is the primary lead magnet. Unlike traditional B2B marketing that relies on gated content and form submissions, TheOneWayGDA's approach leverages the platform's free tier to capture user information through the existing email gate and registration system. The platform already asks visitors to self-identify as Researcher, Student, Professional, Enterprise, Developer, Educator, or General, which provides immediate segmentation data that can be used for personalized follow-up communications.</w:t>
      </w:r>
    </w:p>
    <w:p>
      <w:pPr>
        <w:spacing w:after="120" w:line="312"/>
        <w:ind w:firstLine="480"/>
        <w:jc w:val="both"/>
      </w:pPr>
      <w:r>
        <w:rPr>
          <w:rFonts w:ascii="Times New Roman"/>
          <w:color w:val="000000"/>
          <w:sz w:val="24"/>
          <w:szCs w:val="24"/>
        </w:rPr>
        <w:t xml:space="preserve">Beyond product-led lead generation, supplementary lead magnets should be developed to capture leads who are not yet ready to create an account but are interested in AI evaluation content. These include downloadable benchmark comparison reports (gated behind an email form), an AI Model Selection Quiz that recommends the best model based on the user's specific use case, a free weekly email newsletter curating the most important AI model updates and industry news, webinar registrations for live benchmark analysis sessions and product demos, and an ROI calculator tool that estimates the cost savings from using the optimal AI model.</w:t>
      </w:r>
    </w:p>
    <w:p>
      <w:pPr>
        <w:pStyle w:val="Heading2"/>
        <w:spacing w:after="120" w:before="280" w:line="312"/>
      </w:pPr>
      <w:bookmarkStart w:id="100033" w:name="_Toc100033"/>
      <w:r>
        <w:rPr>
          <w:rFonts w:ascii="Times New Roman"/>
          <w:b/>
          <w:bCs/>
          <w:color w:val="0B1220"/>
          <w:sz w:val="28"/>
          <w:szCs w:val="28"/>
        </w:rPr>
        <w:t xml:space="preserve">5.2 Lead Qualification Framework</w:t>
      </w:r>
      <w:bookmarkEnd w:id="100033"/>
    </w:p>
    <w:p>
      <w:pPr>
        <w:spacing w:after="120" w:line="312"/>
        <w:ind w:firstLine="480"/>
        <w:jc w:val="both"/>
      </w:pPr>
      <w:r>
        <w:rPr>
          <w:rFonts w:ascii="Times New Roman"/>
          <w:color w:val="000000"/>
          <w:sz w:val="24"/>
          <w:szCs w:val="24"/>
        </w:rPr>
        <w:t xml:space="preserve">Lead qualification ensures that sales and marketing efforts are focused on the prospects most likely to convert to paying customers. The qualification framework uses a combination of the lead scoring model described in Section 3.5.2 and a modified BANT (Budget, Authority, Need, Timing) assessment adapted for the platform's freemium model.</w:t>
      </w:r>
    </w:p>
    <w:p>
      <w:pPr>
        <w:keepNext/>
        <w:spacing w:after="80" w:before="200" w:line="312"/>
      </w:pPr>
      <w:r>
        <w:rPr>
          <w:rFonts w:ascii="Times New Roman"/>
          <w:b/>
          <w:bCs/>
          <w:color w:val="506070"/>
          <w:sz w:val="21"/>
          <w:szCs w:val="21"/>
        </w:rPr>
        <w:t xml:space="preserve">Table 7: Lead Qualification Matrix</w:t>
      </w:r>
    </w:p>
    <w:tbl>
      <w:tblPr>
        <w:tblW w:type="pct" w:w="100%"/>
        <w:tblBorders>
          <w:top w:val="single" w:color="D4875A" w:sz="2"/>
          <w:left w:val="none"/>
          <w:bottom w:val="single" w:color="D4875A" w:sz="2"/>
          <w:right w:val="none"/>
          <w:insideH w:val="single" w:color="DDD0C8" w:sz="1"/>
          <w:insideV w:val="none"/>
        </w:tblBorders>
        <w:tblLayout w:type="fixed"/>
      </w:tblPr>
      <w:tblGrid>
        <w:gridCol w:w="100"/>
        <w:gridCol w:w="100"/>
        <w:gridCol w:w="100"/>
        <w:gridCol w:w="100"/>
      </w:tblGrid>
      <w:tr>
        <w:trPr>
          <w:cantSplit/>
          <w:tblHeader/>
        </w:trPr>
        <w:tc>
          <w:tcPr>
            <w:tcW w:type="pct" w:w="25%"/>
            <w:tcBorders>
              <w:top w:val="none"/>
              <w:left w:val="none"/>
              <w:bottom w:val="single" w:color="D4875A" w:sz="2"/>
              <w:right w:val="none"/>
            </w:tcBorders>
            <w:shd w:fill="D4875A" w:val="clear"/>
            <w:tcMar>
              <w:top w:type="dxa" w:w="60"/>
              <w:left w:type="dxa" w:w="120"/>
              <w:bottom w:type="dxa" w:w="60"/>
              <w:right w:type="dxa" w:w="120"/>
            </w:tcMar>
          </w:tcPr>
          <w:p>
            <w:r>
              <w:rPr>
                <w:rFonts w:ascii="Calibri"/>
                <w:b/>
                <w:bCs/>
                <w:color w:val="FFFFFF"/>
                <w:sz w:val="21"/>
                <w:szCs w:val="21"/>
              </w:rPr>
              <w:t xml:space="preserve">Qualification Level</w:t>
            </w:r>
          </w:p>
        </w:tc>
        <w:tc>
          <w:tcPr>
            <w:tcW w:type="pct" w:w="25%"/>
            <w:tcBorders>
              <w:top w:val="none"/>
              <w:left w:val="none"/>
              <w:bottom w:val="single" w:color="D4875A" w:sz="2"/>
              <w:right w:val="none"/>
            </w:tcBorders>
            <w:shd w:fill="D4875A" w:val="clear"/>
            <w:tcMar>
              <w:top w:type="dxa" w:w="60"/>
              <w:left w:type="dxa" w:w="120"/>
              <w:bottom w:type="dxa" w:w="60"/>
              <w:right w:type="dxa" w:w="120"/>
            </w:tcMar>
          </w:tcPr>
          <w:p>
            <w:r>
              <w:rPr>
                <w:rFonts w:ascii="Calibri"/>
                <w:b/>
                <w:bCs/>
                <w:color w:val="FFFFFF"/>
                <w:sz w:val="21"/>
                <w:szCs w:val="21"/>
              </w:rPr>
              <w:t xml:space="preserve">Criteria</w:t>
            </w:r>
          </w:p>
        </w:tc>
        <w:tc>
          <w:tcPr>
            <w:tcW w:type="pct" w:w="25%"/>
            <w:tcBorders>
              <w:top w:val="none"/>
              <w:left w:val="none"/>
              <w:bottom w:val="single" w:color="D4875A" w:sz="2"/>
              <w:right w:val="none"/>
            </w:tcBorders>
            <w:shd w:fill="D4875A" w:val="clear"/>
            <w:tcMar>
              <w:top w:type="dxa" w:w="60"/>
              <w:left w:type="dxa" w:w="120"/>
              <w:bottom w:type="dxa" w:w="60"/>
              <w:right w:type="dxa" w:w="120"/>
            </w:tcMar>
          </w:tcPr>
          <w:p>
            <w:r>
              <w:rPr>
                <w:rFonts w:ascii="Calibri"/>
                <w:b/>
                <w:bCs/>
                <w:color w:val="FFFFFF"/>
                <w:sz w:val="21"/>
                <w:szCs w:val="21"/>
              </w:rPr>
              <w:t xml:space="preserve">Action</w:t>
            </w:r>
          </w:p>
        </w:tc>
        <w:tc>
          <w:tcPr>
            <w:tcW w:type="pct" w:w="25%"/>
            <w:tcBorders>
              <w:top w:val="none"/>
              <w:left w:val="none"/>
              <w:bottom w:val="single" w:color="D4875A" w:sz="2"/>
              <w:right w:val="none"/>
            </w:tcBorders>
            <w:shd w:fill="D4875A" w:val="clear"/>
            <w:tcMar>
              <w:top w:type="dxa" w:w="60"/>
              <w:left w:type="dxa" w:w="120"/>
              <w:bottom w:type="dxa" w:w="60"/>
              <w:right w:type="dxa" w:w="120"/>
            </w:tcMar>
          </w:tcPr>
          <w:p>
            <w:r>
              <w:rPr>
                <w:rFonts w:ascii="Calibri"/>
                <w:b/>
                <w:bCs/>
                <w:color w:val="FFFFFF"/>
                <w:sz w:val="21"/>
                <w:szCs w:val="21"/>
              </w:rPr>
              <w:t xml:space="preserve">Expected Conversion</w:t>
            </w:r>
          </w:p>
        </w:tc>
      </w:tr>
      <w:tr>
        <w:trPr>
          <w:cantSplit/>
        </w:trPr>
        <w:tc>
          <w:tcPr>
            <w:tcW w:type="pct" w:w="25%"/>
            <w:tcBorders>
              <w:top w:val="none"/>
              <w:left w:val="none"/>
              <w:bottom w:val="single" w:color="DDD0C8" w:sz="1"/>
              <w:right w:val="none"/>
            </w:tcBorders>
            <w:shd w:fill="F8F0EB" w:val="clear"/>
            <w:tcMar>
              <w:top w:type="dxa" w:w="60"/>
              <w:left w:type="dxa" w:w="120"/>
              <w:bottom w:type="dxa" w:w="60"/>
              <w:right w:type="dxa" w:w="120"/>
            </w:tcMar>
          </w:tcPr>
          <w:p>
            <w:r>
              <w:rPr>
                <w:rFonts w:ascii="Calibri"/>
                <w:color w:val="000000"/>
                <w:sz w:val="21"/>
                <w:szCs w:val="21"/>
              </w:rPr>
              <w:t xml:space="preserve">Hot Lead (Score 80+)</w:t>
            </w:r>
          </w:p>
        </w:tc>
        <w:tc>
          <w:tcPr>
            <w:tcW w:type="pct" w:w="25%"/>
            <w:tcBorders>
              <w:top w:val="none"/>
              <w:left w:val="none"/>
              <w:bottom w:val="single" w:color="DDD0C8" w:sz="1"/>
              <w:right w:val="none"/>
            </w:tcBorders>
            <w:shd w:fill="F8F0EB" w:val="clear"/>
            <w:tcMar>
              <w:top w:type="dxa" w:w="60"/>
              <w:left w:type="dxa" w:w="120"/>
              <w:bottom w:type="dxa" w:w="60"/>
              <w:right w:type="dxa" w:w="120"/>
            </w:tcMar>
          </w:tcPr>
          <w:p>
            <w:r>
              <w:rPr>
                <w:rFonts w:ascii="Calibri"/>
                <w:color w:val="000000"/>
                <w:sz w:val="21"/>
                <w:szCs w:val="21"/>
              </w:rPr>
              <w:t xml:space="preserve">VP/C-level, hit free tier limit, viewed pricing</w:t>
            </w:r>
          </w:p>
        </w:tc>
        <w:tc>
          <w:tcPr>
            <w:tcW w:type="pct" w:w="25%"/>
            <w:tcBorders>
              <w:top w:val="none"/>
              <w:left w:val="none"/>
              <w:bottom w:val="single" w:color="DDD0C8" w:sz="1"/>
              <w:right w:val="none"/>
            </w:tcBorders>
            <w:shd w:fill="F8F0EB" w:val="clear"/>
            <w:tcMar>
              <w:top w:type="dxa" w:w="60"/>
              <w:left w:type="dxa" w:w="120"/>
              <w:bottom w:type="dxa" w:w="60"/>
              <w:right w:type="dxa" w:w="120"/>
            </w:tcMar>
          </w:tcPr>
          <w:p>
            <w:r>
              <w:rPr>
                <w:rFonts w:ascii="Calibri"/>
                <w:color w:val="000000"/>
                <w:sz w:val="21"/>
                <w:szCs w:val="21"/>
              </w:rPr>
              <w:t xml:space="preserve">Direct sales outreach within 24h</w:t>
            </w:r>
          </w:p>
        </w:tc>
        <w:tc>
          <w:tcPr>
            <w:tcW w:type="pct" w:w="25%"/>
            <w:tcBorders>
              <w:top w:val="none"/>
              <w:left w:val="none"/>
              <w:bottom w:val="single" w:color="DDD0C8" w:sz="1"/>
              <w:right w:val="none"/>
            </w:tcBorders>
            <w:shd w:fill="F8F0EB" w:val="clear"/>
            <w:tcMar>
              <w:top w:type="dxa" w:w="60"/>
              <w:left w:type="dxa" w:w="120"/>
              <w:bottom w:type="dxa" w:w="60"/>
              <w:right w:type="dxa" w:w="120"/>
            </w:tcMar>
          </w:tcPr>
          <w:p>
            <w:r>
              <w:rPr>
                <w:rFonts w:ascii="Calibri"/>
                <w:color w:val="000000"/>
                <w:sz w:val="21"/>
                <w:szCs w:val="21"/>
              </w:rPr>
              <w:t xml:space="preserve">25-35% to paid</w:t>
            </w:r>
          </w:p>
        </w:tc>
      </w:tr>
      <w:tr>
        <w:trPr>
          <w:cantSplit/>
        </w:trPr>
        <w:tc>
          <w:tcPr>
            <w:tcW w:type="pct" w:w="25%"/>
            <w:tcBorders>
              <w:top w:val="none"/>
              <w:left w:val="none"/>
              <w:bottom w:val="single" w:color="DDD0C8" w:sz="1"/>
              <w:right w:val="none"/>
            </w:tcBorders>
            <w:shd w:fill="FFFFFF" w:val="clear"/>
            <w:tcMar>
              <w:top w:type="dxa" w:w="60"/>
              <w:left w:type="dxa" w:w="120"/>
              <w:bottom w:type="dxa" w:w="60"/>
              <w:right w:type="dxa" w:w="120"/>
            </w:tcMar>
          </w:tcPr>
          <w:p>
            <w:r>
              <w:rPr>
                <w:rFonts w:ascii="Calibri"/>
                <w:color w:val="000000"/>
                <w:sz w:val="21"/>
                <w:szCs w:val="21"/>
              </w:rPr>
              <w:t xml:space="preserve">Warm Lead (Score 50-79)</w:t>
            </w:r>
          </w:p>
        </w:tc>
        <w:tc>
          <w:tcPr>
            <w:tcW w:type="pct" w:w="25%"/>
            <w:tcBorders>
              <w:top w:val="none"/>
              <w:left w:val="none"/>
              <w:bottom w:val="single" w:color="DDD0C8" w:sz="1"/>
              <w:right w:val="none"/>
            </w:tcBorders>
            <w:shd w:fill="FFFFFF" w:val="clear"/>
            <w:tcMar>
              <w:top w:type="dxa" w:w="60"/>
              <w:left w:type="dxa" w:w="120"/>
              <w:bottom w:type="dxa" w:w="60"/>
              <w:right w:type="dxa" w:w="120"/>
            </w:tcMar>
          </w:tcPr>
          <w:p>
            <w:r>
              <w:rPr>
                <w:rFonts w:ascii="Calibri"/>
                <w:color w:val="000000"/>
                <w:sz w:val="21"/>
                <w:szCs w:val="21"/>
              </w:rPr>
              <w:t xml:space="preserve">Active user, visited 5+ pages, opened 3+ emails</w:t>
            </w:r>
          </w:p>
        </w:tc>
        <w:tc>
          <w:tcPr>
            <w:tcW w:type="pct" w:w="25%"/>
            <w:tcBorders>
              <w:top w:val="none"/>
              <w:left w:val="none"/>
              <w:bottom w:val="single" w:color="DDD0C8" w:sz="1"/>
              <w:right w:val="none"/>
            </w:tcBorders>
            <w:shd w:fill="FFFFFF" w:val="clear"/>
            <w:tcMar>
              <w:top w:type="dxa" w:w="60"/>
              <w:left w:type="dxa" w:w="120"/>
              <w:bottom w:type="dxa" w:w="60"/>
              <w:right w:type="dxa" w:w="120"/>
            </w:tcMar>
          </w:tcPr>
          <w:p>
            <w:r>
              <w:rPr>
                <w:rFonts w:ascii="Calibri"/>
                <w:color w:val="000000"/>
                <w:sz w:val="21"/>
                <w:szCs w:val="21"/>
              </w:rPr>
              <w:t xml:space="preserve">Personalized email sequence</w:t>
            </w:r>
          </w:p>
        </w:tc>
        <w:tc>
          <w:tcPr>
            <w:tcW w:type="pct" w:w="25%"/>
            <w:tcBorders>
              <w:top w:val="none"/>
              <w:left w:val="none"/>
              <w:bottom w:val="single" w:color="DDD0C8" w:sz="1"/>
              <w:right w:val="none"/>
            </w:tcBorders>
            <w:shd w:fill="FFFFFF" w:val="clear"/>
            <w:tcMar>
              <w:top w:type="dxa" w:w="60"/>
              <w:left w:type="dxa" w:w="120"/>
              <w:bottom w:type="dxa" w:w="60"/>
              <w:right w:type="dxa" w:w="120"/>
            </w:tcMar>
          </w:tcPr>
          <w:p>
            <w:r>
              <w:rPr>
                <w:rFonts w:ascii="Calibri"/>
                <w:color w:val="000000"/>
                <w:sz w:val="21"/>
                <w:szCs w:val="21"/>
              </w:rPr>
              <w:t xml:space="preserve">10-15% to paid</w:t>
            </w:r>
          </w:p>
        </w:tc>
      </w:tr>
      <w:tr>
        <w:trPr>
          <w:cantSplit/>
        </w:trPr>
        <w:tc>
          <w:tcPr>
            <w:tcW w:type="pct" w:w="25%"/>
            <w:tcBorders>
              <w:top w:val="none"/>
              <w:left w:val="none"/>
              <w:bottom w:val="single" w:color="DDD0C8" w:sz="1"/>
              <w:right w:val="none"/>
            </w:tcBorders>
            <w:shd w:fill="F8F0EB" w:val="clear"/>
            <w:tcMar>
              <w:top w:type="dxa" w:w="60"/>
              <w:left w:type="dxa" w:w="120"/>
              <w:bottom w:type="dxa" w:w="60"/>
              <w:right w:type="dxa" w:w="120"/>
            </w:tcMar>
          </w:tcPr>
          <w:p>
            <w:r>
              <w:rPr>
                <w:rFonts w:ascii="Calibri"/>
                <w:color w:val="000000"/>
                <w:sz w:val="21"/>
                <w:szCs w:val="21"/>
              </w:rPr>
              <w:t xml:space="preserve">Nurture Lead (Score 25-49)</w:t>
            </w:r>
          </w:p>
        </w:tc>
        <w:tc>
          <w:tcPr>
            <w:tcW w:type="pct" w:w="25%"/>
            <w:tcBorders>
              <w:top w:val="none"/>
              <w:left w:val="none"/>
              <w:bottom w:val="single" w:color="DDD0C8" w:sz="1"/>
              <w:right w:val="none"/>
            </w:tcBorders>
            <w:shd w:fill="F8F0EB" w:val="clear"/>
            <w:tcMar>
              <w:top w:type="dxa" w:w="60"/>
              <w:left w:type="dxa" w:w="120"/>
              <w:bottom w:type="dxa" w:w="60"/>
              <w:right w:type="dxa" w:w="120"/>
            </w:tcMar>
          </w:tcPr>
          <w:p>
            <w:r>
              <w:rPr>
                <w:rFonts w:ascii="Calibri"/>
                <w:color w:val="000000"/>
                <w:sz w:val="21"/>
                <w:szCs w:val="21"/>
              </w:rPr>
              <w:t xml:space="preserve">Registered but low activity, single session</w:t>
            </w:r>
          </w:p>
        </w:tc>
        <w:tc>
          <w:tcPr>
            <w:tcW w:type="pct" w:w="25%"/>
            <w:tcBorders>
              <w:top w:val="none"/>
              <w:left w:val="none"/>
              <w:bottom w:val="single" w:color="DDD0C8" w:sz="1"/>
              <w:right w:val="none"/>
            </w:tcBorders>
            <w:shd w:fill="F8F0EB" w:val="clear"/>
            <w:tcMar>
              <w:top w:type="dxa" w:w="60"/>
              <w:left w:type="dxa" w:w="120"/>
              <w:bottom w:type="dxa" w:w="60"/>
              <w:right w:type="dxa" w:w="120"/>
            </w:tcMar>
          </w:tcPr>
          <w:p>
            <w:r>
              <w:rPr>
                <w:rFonts w:ascii="Calibri"/>
                <w:color w:val="000000"/>
                <w:sz w:val="21"/>
                <w:szCs w:val="21"/>
              </w:rPr>
              <w:t xml:space="preserve">Automated nurture campaign</w:t>
            </w:r>
          </w:p>
        </w:tc>
        <w:tc>
          <w:tcPr>
            <w:tcW w:type="pct" w:w="25%"/>
            <w:tcBorders>
              <w:top w:val="none"/>
              <w:left w:val="none"/>
              <w:bottom w:val="single" w:color="DDD0C8" w:sz="1"/>
              <w:right w:val="none"/>
            </w:tcBorders>
            <w:shd w:fill="F8F0EB" w:val="clear"/>
            <w:tcMar>
              <w:top w:type="dxa" w:w="60"/>
              <w:left w:type="dxa" w:w="120"/>
              <w:bottom w:type="dxa" w:w="60"/>
              <w:right w:type="dxa" w:w="120"/>
            </w:tcMar>
          </w:tcPr>
          <w:p>
            <w:r>
              <w:rPr>
                <w:rFonts w:ascii="Calibri"/>
                <w:color w:val="000000"/>
                <w:sz w:val="21"/>
                <w:szCs w:val="21"/>
              </w:rPr>
              <w:t xml:space="preserve">3-5% to paid</w:t>
            </w:r>
          </w:p>
        </w:tc>
      </w:tr>
      <w:tr>
        <w:trPr>
          <w:cantSplit/>
        </w:trPr>
        <w:tc>
          <w:tcPr>
            <w:tcW w:type="pct" w:w="25%"/>
            <w:tcBorders>
              <w:top w:val="none"/>
              <w:left w:val="none"/>
              <w:bottom w:val="single" w:color="DDD0C8" w:sz="1"/>
              <w:right w:val="none"/>
            </w:tcBorders>
            <w:shd w:fill="FFFFFF" w:val="clear"/>
            <w:tcMar>
              <w:top w:type="dxa" w:w="60"/>
              <w:left w:type="dxa" w:w="120"/>
              <w:bottom w:type="dxa" w:w="60"/>
              <w:right w:type="dxa" w:w="120"/>
            </w:tcMar>
          </w:tcPr>
          <w:p>
            <w:r>
              <w:rPr>
                <w:rFonts w:ascii="Calibri"/>
                <w:color w:val="000000"/>
                <w:sz w:val="21"/>
                <w:szCs w:val="21"/>
              </w:rPr>
              <w:t xml:space="preserve">Cold Lead (Score &lt; 25)</w:t>
            </w:r>
          </w:p>
        </w:tc>
        <w:tc>
          <w:tcPr>
            <w:tcW w:type="pct" w:w="25%"/>
            <w:tcBorders>
              <w:top w:val="none"/>
              <w:left w:val="none"/>
              <w:bottom w:val="single" w:color="DDD0C8" w:sz="1"/>
              <w:right w:val="none"/>
            </w:tcBorders>
            <w:shd w:fill="FFFFFF" w:val="clear"/>
            <w:tcMar>
              <w:top w:type="dxa" w:w="60"/>
              <w:left w:type="dxa" w:w="120"/>
              <w:bottom w:type="dxa" w:w="60"/>
              <w:right w:type="dxa" w:w="120"/>
            </w:tcMar>
          </w:tcPr>
          <w:p>
            <w:r>
              <w:rPr>
                <w:rFonts w:ascii="Calibri"/>
                <w:color w:val="000000"/>
                <w:sz w:val="21"/>
                <w:szCs w:val="21"/>
              </w:rPr>
              <w:t xml:space="preserve">Registered, no activity in 14+ days</w:t>
            </w:r>
          </w:p>
        </w:tc>
        <w:tc>
          <w:tcPr>
            <w:tcW w:type="pct" w:w="25%"/>
            <w:tcBorders>
              <w:top w:val="none"/>
              <w:left w:val="none"/>
              <w:bottom w:val="single" w:color="DDD0C8" w:sz="1"/>
              <w:right w:val="none"/>
            </w:tcBorders>
            <w:shd w:fill="FFFFFF" w:val="clear"/>
            <w:tcMar>
              <w:top w:type="dxa" w:w="60"/>
              <w:left w:type="dxa" w:w="120"/>
              <w:bottom w:type="dxa" w:w="60"/>
              <w:right w:type="dxa" w:w="120"/>
            </w:tcMar>
          </w:tcPr>
          <w:p>
            <w:r>
              <w:rPr>
                <w:rFonts w:ascii="Calibri"/>
                <w:color w:val="000000"/>
                <w:sz w:val="21"/>
                <w:szCs w:val="21"/>
              </w:rPr>
              <w:t xml:space="preserve">Re-engagement campaign</w:t>
            </w:r>
          </w:p>
        </w:tc>
        <w:tc>
          <w:tcPr>
            <w:tcW w:type="pct" w:w="25%"/>
            <w:tcBorders>
              <w:top w:val="none"/>
              <w:left w:val="none"/>
              <w:bottom w:val="single" w:color="DDD0C8" w:sz="1"/>
              <w:right w:val="none"/>
            </w:tcBorders>
            <w:shd w:fill="FFFFFF" w:val="clear"/>
            <w:tcMar>
              <w:top w:type="dxa" w:w="60"/>
              <w:left w:type="dxa" w:w="120"/>
              <w:bottom w:type="dxa" w:w="60"/>
              <w:right w:type="dxa" w:w="120"/>
            </w:tcMar>
          </w:tcPr>
          <w:p>
            <w:r>
              <w:rPr>
                <w:rFonts w:ascii="Calibri"/>
                <w:color w:val="000000"/>
                <w:sz w:val="21"/>
                <w:szCs w:val="21"/>
              </w:rPr>
              <w:t xml:space="preserve">1-2% to paid</w:t>
            </w:r>
          </w:p>
        </w:tc>
      </w:tr>
    </w:tbl>
    <w:p>
      <w:pPr>
        <w:spacing w:after="60" w:before="60"/>
      </w:pPr>
    </w:p>
    <w:p>
      <w:pPr>
        <w:pStyle w:val="Heading1"/>
        <w:spacing w:after="160" w:before="360" w:line="312"/>
      </w:pPr>
      <w:bookmarkStart w:id="100034" w:name="_Toc100034"/>
      <w:r>
        <w:rPr>
          <w:rFonts w:ascii="Times New Roman"/>
          <w:b/>
          <w:bCs/>
          <w:color w:val="0B1220"/>
          <w:sz w:val="32"/>
          <w:szCs w:val="32"/>
        </w:rPr>
        <w:t xml:space="preserve">6. Site &amp; Conversion Optimization</w:t>
      </w:r>
      <w:bookmarkEnd w:id="100034"/>
    </w:p>
    <w:p>
      <w:pPr>
        <w:pStyle w:val="Heading2"/>
        <w:spacing w:after="120" w:before="280" w:line="312"/>
      </w:pPr>
      <w:bookmarkStart w:id="100035" w:name="_Toc100035"/>
      <w:r>
        <w:rPr>
          <w:rFonts w:ascii="Times New Roman"/>
          <w:b/>
          <w:bCs/>
          <w:color w:val="0B1220"/>
          <w:sz w:val="28"/>
          <w:szCs w:val="28"/>
        </w:rPr>
        <w:t xml:space="preserve">6.1 Conversion Funnel Analysis</w:t>
      </w:r>
      <w:bookmarkEnd w:id="100035"/>
    </w:p>
    <w:p>
      <w:pPr>
        <w:spacing w:after="120" w:line="312"/>
        <w:ind w:firstLine="480"/>
        <w:jc w:val="both"/>
      </w:pPr>
      <w:r>
        <w:rPr>
          <w:rFonts w:ascii="Times New Roman"/>
          <w:color w:val="000000"/>
          <w:sz w:val="24"/>
          <w:szCs w:val="24"/>
        </w:rPr>
        <w:t xml:space="preserve">The conversion funnel for TheOneWayGDA has four key stages: Visitor (lands on any page), Registrant (completes email gate or registration), Activated User (completes onboarding tour and uses a core feature), and Paying Customer (upgrades to Pro or Enterprise). At each stage, there is measurable drop-off that represents both a challenge and an optimization opportunity. The initial focus should be on measuring the actual conversion rates at each stage using analytics events, identifying the highest-impact drop-off points, and implementing targeted optimizations.</w:t>
      </w:r>
    </w:p>
    <w:p>
      <w:pPr>
        <w:keepNext/>
        <w:spacing w:after="80" w:before="200" w:line="312"/>
      </w:pPr>
      <w:r>
        <w:rPr>
          <w:rFonts w:ascii="Times New Roman"/>
          <w:b/>
          <w:bCs/>
          <w:color w:val="506070"/>
          <w:sz w:val="21"/>
          <w:szCs w:val="21"/>
        </w:rPr>
        <w:t xml:space="preserve">Table 8: Conversion Funnel Targets</w:t>
      </w:r>
    </w:p>
    <w:tbl>
      <w:tblPr>
        <w:tblW w:type="pct" w:w="100%"/>
        <w:tblBorders>
          <w:top w:val="single" w:color="D4875A" w:sz="2"/>
          <w:left w:val="none"/>
          <w:bottom w:val="single" w:color="D4875A" w:sz="2"/>
          <w:right w:val="none"/>
          <w:insideH w:val="single" w:color="DDD0C8" w:sz="1"/>
          <w:insideV w:val="none"/>
        </w:tblBorders>
        <w:tblLayout w:type="fixed"/>
      </w:tblPr>
      <w:tblGrid>
        <w:gridCol w:w="100"/>
        <w:gridCol w:w="100"/>
        <w:gridCol w:w="100"/>
        <w:gridCol w:w="100"/>
        <w:gridCol w:w="100"/>
      </w:tblGrid>
      <w:tr>
        <w:trPr>
          <w:cantSplit/>
          <w:tblHeader/>
        </w:trPr>
        <w:tc>
          <w:tcPr>
            <w:tcW w:type="pct" w:w="20%"/>
            <w:tcBorders>
              <w:top w:val="none"/>
              <w:left w:val="none"/>
              <w:bottom w:val="single" w:color="D4875A" w:sz="2"/>
              <w:right w:val="none"/>
            </w:tcBorders>
            <w:shd w:fill="D4875A" w:val="clear"/>
            <w:tcMar>
              <w:top w:type="dxa" w:w="60"/>
              <w:left w:type="dxa" w:w="120"/>
              <w:bottom w:type="dxa" w:w="60"/>
              <w:right w:type="dxa" w:w="120"/>
            </w:tcMar>
          </w:tcPr>
          <w:p>
            <w:r>
              <w:rPr>
                <w:rFonts w:ascii="Calibri"/>
                <w:b/>
                <w:bCs/>
                <w:color w:val="FFFFFF"/>
                <w:sz w:val="21"/>
                <w:szCs w:val="21"/>
              </w:rPr>
              <w:t xml:space="preserve">Funnel Stage</w:t>
            </w:r>
          </w:p>
        </w:tc>
        <w:tc>
          <w:tcPr>
            <w:tcW w:type="pct" w:w="20%"/>
            <w:tcBorders>
              <w:top w:val="none"/>
              <w:left w:val="none"/>
              <w:bottom w:val="single" w:color="D4875A" w:sz="2"/>
              <w:right w:val="none"/>
            </w:tcBorders>
            <w:shd w:fill="D4875A" w:val="clear"/>
            <w:tcMar>
              <w:top w:type="dxa" w:w="60"/>
              <w:left w:type="dxa" w:w="120"/>
              <w:bottom w:type="dxa" w:w="60"/>
              <w:right w:type="dxa" w:w="120"/>
            </w:tcMar>
          </w:tcPr>
          <w:p>
            <w:r>
              <w:rPr>
                <w:rFonts w:ascii="Calibri"/>
                <w:b/>
                <w:bCs/>
                <w:color w:val="FFFFFF"/>
                <w:sz w:val="21"/>
                <w:szCs w:val="21"/>
              </w:rPr>
              <w:t xml:space="preserve">Current Est.</w:t>
            </w:r>
          </w:p>
        </w:tc>
        <w:tc>
          <w:tcPr>
            <w:tcW w:type="pct" w:w="20%"/>
            <w:tcBorders>
              <w:top w:val="none"/>
              <w:left w:val="none"/>
              <w:bottom w:val="single" w:color="D4875A" w:sz="2"/>
              <w:right w:val="none"/>
            </w:tcBorders>
            <w:shd w:fill="D4875A" w:val="clear"/>
            <w:tcMar>
              <w:top w:type="dxa" w:w="60"/>
              <w:left w:type="dxa" w:w="120"/>
              <w:bottom w:type="dxa" w:w="60"/>
              <w:right w:type="dxa" w:w="120"/>
            </w:tcMar>
          </w:tcPr>
          <w:p>
            <w:r>
              <w:rPr>
                <w:rFonts w:ascii="Calibri"/>
                <w:b/>
                <w:bCs/>
                <w:color w:val="FFFFFF"/>
                <w:sz w:val="21"/>
                <w:szCs w:val="21"/>
              </w:rPr>
              <w:t xml:space="preserve">Target (6 mo)</w:t>
            </w:r>
          </w:p>
        </w:tc>
        <w:tc>
          <w:tcPr>
            <w:tcW w:type="pct" w:w="20%"/>
            <w:tcBorders>
              <w:top w:val="none"/>
              <w:left w:val="none"/>
              <w:bottom w:val="single" w:color="D4875A" w:sz="2"/>
              <w:right w:val="none"/>
            </w:tcBorders>
            <w:shd w:fill="D4875A" w:val="clear"/>
            <w:tcMar>
              <w:top w:type="dxa" w:w="60"/>
              <w:left w:type="dxa" w:w="120"/>
              <w:bottom w:type="dxa" w:w="60"/>
              <w:right w:type="dxa" w:w="120"/>
            </w:tcMar>
          </w:tcPr>
          <w:p>
            <w:r>
              <w:rPr>
                <w:rFonts w:ascii="Calibri"/>
                <w:b/>
                <w:bCs/>
                <w:color w:val="FFFFFF"/>
                <w:sz w:val="21"/>
                <w:szCs w:val="21"/>
              </w:rPr>
              <w:t xml:space="preserve">Target (12 mo)</w:t>
            </w:r>
          </w:p>
        </w:tc>
        <w:tc>
          <w:tcPr>
            <w:tcW w:type="pct" w:w="20%"/>
            <w:tcBorders>
              <w:top w:val="none"/>
              <w:left w:val="none"/>
              <w:bottom w:val="single" w:color="D4875A" w:sz="2"/>
              <w:right w:val="none"/>
            </w:tcBorders>
            <w:shd w:fill="D4875A" w:val="clear"/>
            <w:tcMar>
              <w:top w:type="dxa" w:w="60"/>
              <w:left w:type="dxa" w:w="120"/>
              <w:bottom w:type="dxa" w:w="60"/>
              <w:right w:type="dxa" w:w="120"/>
            </w:tcMar>
          </w:tcPr>
          <w:p>
            <w:r>
              <w:rPr>
                <w:rFonts w:ascii="Calibri"/>
                <w:b/>
                <w:bCs/>
                <w:color w:val="FFFFFF"/>
                <w:sz w:val="21"/>
                <w:szCs w:val="21"/>
              </w:rPr>
              <w:t xml:space="preserve">Primary Optimization</w:t>
            </w:r>
          </w:p>
        </w:tc>
      </w:tr>
      <w:tr>
        <w:trPr>
          <w:cantSplit/>
        </w:trPr>
        <w:tc>
          <w:tcPr>
            <w:tcW w:type="pct" w:w="20%"/>
            <w:tcBorders>
              <w:top w:val="none"/>
              <w:left w:val="none"/>
              <w:bottom w:val="single" w:color="DDD0C8" w:sz="1"/>
              <w:right w:val="none"/>
            </w:tcBorders>
            <w:shd w:fill="F8F0EB" w:val="clear"/>
            <w:tcMar>
              <w:top w:type="dxa" w:w="60"/>
              <w:left w:type="dxa" w:w="120"/>
              <w:bottom w:type="dxa" w:w="60"/>
              <w:right w:type="dxa" w:w="120"/>
            </w:tcMar>
          </w:tcPr>
          <w:p>
            <w:r>
              <w:rPr>
                <w:rFonts w:ascii="Calibri"/>
                <w:color w:val="000000"/>
                <w:sz w:val="21"/>
                <w:szCs w:val="21"/>
              </w:rPr>
              <w:t xml:space="preserve">Visitor to Registrant</w:t>
            </w:r>
          </w:p>
        </w:tc>
        <w:tc>
          <w:tcPr>
            <w:tcW w:type="pct" w:w="20%"/>
            <w:tcBorders>
              <w:top w:val="none"/>
              <w:left w:val="none"/>
              <w:bottom w:val="single" w:color="DDD0C8" w:sz="1"/>
              <w:right w:val="none"/>
            </w:tcBorders>
            <w:shd w:fill="F8F0EB" w:val="clear"/>
            <w:tcMar>
              <w:top w:type="dxa" w:w="60"/>
              <w:left w:type="dxa" w:w="120"/>
              <w:bottom w:type="dxa" w:w="60"/>
              <w:right w:type="dxa" w:w="120"/>
            </w:tcMar>
          </w:tcPr>
          <w:p>
            <w:r>
              <w:rPr>
                <w:rFonts w:ascii="Calibri"/>
                <w:color w:val="000000"/>
                <w:sz w:val="21"/>
                <w:szCs w:val="21"/>
              </w:rPr>
              <w:t xml:space="preserve">~8%</w:t>
            </w:r>
          </w:p>
        </w:tc>
        <w:tc>
          <w:tcPr>
            <w:tcW w:type="pct" w:w="20%"/>
            <w:tcBorders>
              <w:top w:val="none"/>
              <w:left w:val="none"/>
              <w:bottom w:val="single" w:color="DDD0C8" w:sz="1"/>
              <w:right w:val="none"/>
            </w:tcBorders>
            <w:shd w:fill="F8F0EB" w:val="clear"/>
            <w:tcMar>
              <w:top w:type="dxa" w:w="60"/>
              <w:left w:type="dxa" w:w="120"/>
              <w:bottom w:type="dxa" w:w="60"/>
              <w:right w:type="dxa" w:w="120"/>
            </w:tcMar>
          </w:tcPr>
          <w:p>
            <w:r>
              <w:rPr>
                <w:rFonts w:ascii="Calibri"/>
                <w:color w:val="000000"/>
                <w:sz w:val="21"/>
                <w:szCs w:val="21"/>
              </w:rPr>
              <w:t xml:space="preserve">15%</w:t>
            </w:r>
          </w:p>
        </w:tc>
        <w:tc>
          <w:tcPr>
            <w:tcW w:type="pct" w:w="20%"/>
            <w:tcBorders>
              <w:top w:val="none"/>
              <w:left w:val="none"/>
              <w:bottom w:val="single" w:color="DDD0C8" w:sz="1"/>
              <w:right w:val="none"/>
            </w:tcBorders>
            <w:shd w:fill="F8F0EB" w:val="clear"/>
            <w:tcMar>
              <w:top w:type="dxa" w:w="60"/>
              <w:left w:type="dxa" w:w="120"/>
              <w:bottom w:type="dxa" w:w="60"/>
              <w:right w:type="dxa" w:w="120"/>
            </w:tcMar>
          </w:tcPr>
          <w:p>
            <w:r>
              <w:rPr>
                <w:rFonts w:ascii="Calibri"/>
                <w:color w:val="000000"/>
                <w:sz w:val="21"/>
                <w:szCs w:val="21"/>
              </w:rPr>
              <w:t xml:space="preserve">22%</w:t>
            </w:r>
          </w:p>
        </w:tc>
        <w:tc>
          <w:tcPr>
            <w:tcW w:type="pct" w:w="20%"/>
            <w:tcBorders>
              <w:top w:val="none"/>
              <w:left w:val="none"/>
              <w:bottom w:val="single" w:color="DDD0C8" w:sz="1"/>
              <w:right w:val="none"/>
            </w:tcBorders>
            <w:shd w:fill="F8F0EB" w:val="clear"/>
            <w:tcMar>
              <w:top w:type="dxa" w:w="60"/>
              <w:left w:type="dxa" w:w="120"/>
              <w:bottom w:type="dxa" w:w="60"/>
              <w:right w:type="dxa" w:w="120"/>
            </w:tcMar>
          </w:tcPr>
          <w:p>
            <w:r>
              <w:rPr>
                <w:rFonts w:ascii="Calibri"/>
                <w:color w:val="000000"/>
                <w:sz w:val="21"/>
                <w:szCs w:val="21"/>
              </w:rPr>
              <w:t xml:space="preserve">Landing page A/B tests, value prop clarity</w:t>
            </w:r>
          </w:p>
        </w:tc>
      </w:tr>
      <w:tr>
        <w:trPr>
          <w:cantSplit/>
        </w:trPr>
        <w:tc>
          <w:tcPr>
            <w:tcW w:type="pct" w:w="20%"/>
            <w:tcBorders>
              <w:top w:val="none"/>
              <w:left w:val="none"/>
              <w:bottom w:val="single" w:color="DDD0C8" w:sz="1"/>
              <w:right w:val="none"/>
            </w:tcBorders>
            <w:shd w:fill="FFFFFF" w:val="clear"/>
            <w:tcMar>
              <w:top w:type="dxa" w:w="60"/>
              <w:left w:type="dxa" w:w="120"/>
              <w:bottom w:type="dxa" w:w="60"/>
              <w:right w:type="dxa" w:w="120"/>
            </w:tcMar>
          </w:tcPr>
          <w:p>
            <w:r>
              <w:rPr>
                <w:rFonts w:ascii="Calibri"/>
                <w:color w:val="000000"/>
                <w:sz w:val="21"/>
                <w:szCs w:val="21"/>
              </w:rPr>
              <w:t xml:space="preserve">Registrant to Activated</w:t>
            </w:r>
          </w:p>
        </w:tc>
        <w:tc>
          <w:tcPr>
            <w:tcW w:type="pct" w:w="20%"/>
            <w:tcBorders>
              <w:top w:val="none"/>
              <w:left w:val="none"/>
              <w:bottom w:val="single" w:color="DDD0C8" w:sz="1"/>
              <w:right w:val="none"/>
            </w:tcBorders>
            <w:shd w:fill="FFFFFF" w:val="clear"/>
            <w:tcMar>
              <w:top w:type="dxa" w:w="60"/>
              <w:left w:type="dxa" w:w="120"/>
              <w:bottom w:type="dxa" w:w="60"/>
              <w:right w:type="dxa" w:w="120"/>
            </w:tcMar>
          </w:tcPr>
          <w:p>
            <w:r>
              <w:rPr>
                <w:rFonts w:ascii="Calibri"/>
                <w:color w:val="000000"/>
                <w:sz w:val="21"/>
                <w:szCs w:val="21"/>
              </w:rPr>
              <w:t xml:space="preserve">~40%</w:t>
            </w:r>
          </w:p>
        </w:tc>
        <w:tc>
          <w:tcPr>
            <w:tcW w:type="pct" w:w="20%"/>
            <w:tcBorders>
              <w:top w:val="none"/>
              <w:left w:val="none"/>
              <w:bottom w:val="single" w:color="DDD0C8" w:sz="1"/>
              <w:right w:val="none"/>
            </w:tcBorders>
            <w:shd w:fill="FFFFFF" w:val="clear"/>
            <w:tcMar>
              <w:top w:type="dxa" w:w="60"/>
              <w:left w:type="dxa" w:w="120"/>
              <w:bottom w:type="dxa" w:w="60"/>
              <w:right w:type="dxa" w:w="120"/>
            </w:tcMar>
          </w:tcPr>
          <w:p>
            <w:r>
              <w:rPr>
                <w:rFonts w:ascii="Calibri"/>
                <w:color w:val="000000"/>
                <w:sz w:val="21"/>
                <w:szCs w:val="21"/>
              </w:rPr>
              <w:t xml:space="preserve">60%</w:t>
            </w:r>
          </w:p>
        </w:tc>
        <w:tc>
          <w:tcPr>
            <w:tcW w:type="pct" w:w="20%"/>
            <w:tcBorders>
              <w:top w:val="none"/>
              <w:left w:val="none"/>
              <w:bottom w:val="single" w:color="DDD0C8" w:sz="1"/>
              <w:right w:val="none"/>
            </w:tcBorders>
            <w:shd w:fill="FFFFFF" w:val="clear"/>
            <w:tcMar>
              <w:top w:type="dxa" w:w="60"/>
              <w:left w:type="dxa" w:w="120"/>
              <w:bottom w:type="dxa" w:w="60"/>
              <w:right w:type="dxa" w:w="120"/>
            </w:tcMar>
          </w:tcPr>
          <w:p>
            <w:r>
              <w:rPr>
                <w:rFonts w:ascii="Calibri"/>
                <w:color w:val="000000"/>
                <w:sz w:val="21"/>
                <w:szCs w:val="21"/>
              </w:rPr>
              <w:t xml:space="preserve">75%</w:t>
            </w:r>
          </w:p>
        </w:tc>
        <w:tc>
          <w:tcPr>
            <w:tcW w:type="pct" w:w="20%"/>
            <w:tcBorders>
              <w:top w:val="none"/>
              <w:left w:val="none"/>
              <w:bottom w:val="single" w:color="DDD0C8" w:sz="1"/>
              <w:right w:val="none"/>
            </w:tcBorders>
            <w:shd w:fill="FFFFFF" w:val="clear"/>
            <w:tcMar>
              <w:top w:type="dxa" w:w="60"/>
              <w:left w:type="dxa" w:w="120"/>
              <w:bottom w:type="dxa" w:w="60"/>
              <w:right w:type="dxa" w:w="120"/>
            </w:tcMar>
          </w:tcPr>
          <w:p>
            <w:r>
              <w:rPr>
                <w:rFonts w:ascii="Calibri"/>
                <w:color w:val="000000"/>
                <w:sz w:val="21"/>
                <w:szCs w:val="21"/>
              </w:rPr>
              <w:t xml:space="preserve">Onboarding flow, feature discovery</w:t>
            </w:r>
          </w:p>
        </w:tc>
      </w:tr>
      <w:tr>
        <w:trPr>
          <w:cantSplit/>
        </w:trPr>
        <w:tc>
          <w:tcPr>
            <w:tcW w:type="pct" w:w="20%"/>
            <w:tcBorders>
              <w:top w:val="none"/>
              <w:left w:val="none"/>
              <w:bottom w:val="single" w:color="DDD0C8" w:sz="1"/>
              <w:right w:val="none"/>
            </w:tcBorders>
            <w:shd w:fill="F8F0EB" w:val="clear"/>
            <w:tcMar>
              <w:top w:type="dxa" w:w="60"/>
              <w:left w:type="dxa" w:w="120"/>
              <w:bottom w:type="dxa" w:w="60"/>
              <w:right w:type="dxa" w:w="120"/>
            </w:tcMar>
          </w:tcPr>
          <w:p>
            <w:r>
              <w:rPr>
                <w:rFonts w:ascii="Calibri"/>
                <w:color w:val="000000"/>
                <w:sz w:val="21"/>
                <w:szCs w:val="21"/>
              </w:rPr>
              <w:t xml:space="preserve">Activated to Paid</w:t>
            </w:r>
          </w:p>
        </w:tc>
        <w:tc>
          <w:tcPr>
            <w:tcW w:type="pct" w:w="20%"/>
            <w:tcBorders>
              <w:top w:val="none"/>
              <w:left w:val="none"/>
              <w:bottom w:val="single" w:color="DDD0C8" w:sz="1"/>
              <w:right w:val="none"/>
            </w:tcBorders>
            <w:shd w:fill="F8F0EB" w:val="clear"/>
            <w:tcMar>
              <w:top w:type="dxa" w:w="60"/>
              <w:left w:type="dxa" w:w="120"/>
              <w:bottom w:type="dxa" w:w="60"/>
              <w:right w:type="dxa" w:w="120"/>
            </w:tcMar>
          </w:tcPr>
          <w:p>
            <w:r>
              <w:rPr>
                <w:rFonts w:ascii="Calibri"/>
                <w:color w:val="000000"/>
                <w:sz w:val="21"/>
                <w:szCs w:val="21"/>
              </w:rPr>
              <w:t xml:space="preserve">~2%</w:t>
            </w:r>
          </w:p>
        </w:tc>
        <w:tc>
          <w:tcPr>
            <w:tcW w:type="pct" w:w="20%"/>
            <w:tcBorders>
              <w:top w:val="none"/>
              <w:left w:val="none"/>
              <w:bottom w:val="single" w:color="DDD0C8" w:sz="1"/>
              <w:right w:val="none"/>
            </w:tcBorders>
            <w:shd w:fill="F8F0EB" w:val="clear"/>
            <w:tcMar>
              <w:top w:type="dxa" w:w="60"/>
              <w:left w:type="dxa" w:w="120"/>
              <w:bottom w:type="dxa" w:w="60"/>
              <w:right w:type="dxa" w:w="120"/>
            </w:tcMar>
          </w:tcPr>
          <w:p>
            <w:r>
              <w:rPr>
                <w:rFonts w:ascii="Calibri"/>
                <w:color w:val="000000"/>
                <w:sz w:val="21"/>
                <w:szCs w:val="21"/>
              </w:rPr>
              <w:t xml:space="preserve">5%</w:t>
            </w:r>
          </w:p>
        </w:tc>
        <w:tc>
          <w:tcPr>
            <w:tcW w:type="pct" w:w="20%"/>
            <w:tcBorders>
              <w:top w:val="none"/>
              <w:left w:val="none"/>
              <w:bottom w:val="single" w:color="DDD0C8" w:sz="1"/>
              <w:right w:val="none"/>
            </w:tcBorders>
            <w:shd w:fill="F8F0EB" w:val="clear"/>
            <w:tcMar>
              <w:top w:type="dxa" w:w="60"/>
              <w:left w:type="dxa" w:w="120"/>
              <w:bottom w:type="dxa" w:w="60"/>
              <w:right w:type="dxa" w:w="120"/>
            </w:tcMar>
          </w:tcPr>
          <w:p>
            <w:r>
              <w:rPr>
                <w:rFonts w:ascii="Calibri"/>
                <w:color w:val="000000"/>
                <w:sz w:val="21"/>
                <w:szCs w:val="21"/>
              </w:rPr>
              <w:t xml:space="preserve">8%</w:t>
            </w:r>
          </w:p>
        </w:tc>
        <w:tc>
          <w:tcPr>
            <w:tcW w:type="pct" w:w="20%"/>
            <w:tcBorders>
              <w:top w:val="none"/>
              <w:left w:val="none"/>
              <w:bottom w:val="single" w:color="DDD0C8" w:sz="1"/>
              <w:right w:val="none"/>
            </w:tcBorders>
            <w:shd w:fill="F8F0EB" w:val="clear"/>
            <w:tcMar>
              <w:top w:type="dxa" w:w="60"/>
              <w:left w:type="dxa" w:w="120"/>
              <w:bottom w:type="dxa" w:w="60"/>
              <w:right w:type="dxa" w:w="120"/>
            </w:tcMar>
          </w:tcPr>
          <w:p>
            <w:r>
              <w:rPr>
                <w:rFonts w:ascii="Calibri"/>
                <w:color w:val="000000"/>
                <w:sz w:val="21"/>
                <w:szCs w:val="21"/>
              </w:rPr>
              <w:t xml:space="preserve">Usage limit triggers, upgrade messaging</w:t>
            </w:r>
          </w:p>
        </w:tc>
      </w:tr>
      <w:tr>
        <w:trPr>
          <w:cantSplit/>
        </w:trPr>
        <w:tc>
          <w:tcPr>
            <w:tcW w:type="pct" w:w="20%"/>
            <w:tcBorders>
              <w:top w:val="none"/>
              <w:left w:val="none"/>
              <w:bottom w:val="single" w:color="DDD0C8" w:sz="1"/>
              <w:right w:val="none"/>
            </w:tcBorders>
            <w:shd w:fill="FFFFFF" w:val="clear"/>
            <w:tcMar>
              <w:top w:type="dxa" w:w="60"/>
              <w:left w:type="dxa" w:w="120"/>
              <w:bottom w:type="dxa" w:w="60"/>
              <w:right w:type="dxa" w:w="120"/>
            </w:tcMar>
          </w:tcPr>
          <w:p>
            <w:r>
              <w:rPr>
                <w:rFonts w:ascii="Calibri"/>
                <w:color w:val="000000"/>
                <w:sz w:val="21"/>
                <w:szCs w:val="21"/>
              </w:rPr>
              <w:t xml:space="preserve">Free to Pro</w:t>
            </w:r>
          </w:p>
        </w:tc>
        <w:tc>
          <w:tcPr>
            <w:tcW w:type="pct" w:w="20%"/>
            <w:tcBorders>
              <w:top w:val="none"/>
              <w:left w:val="none"/>
              <w:bottom w:val="single" w:color="DDD0C8" w:sz="1"/>
              <w:right w:val="none"/>
            </w:tcBorders>
            <w:shd w:fill="FFFFFF" w:val="clear"/>
            <w:tcMar>
              <w:top w:type="dxa" w:w="60"/>
              <w:left w:type="dxa" w:w="120"/>
              <w:bottom w:type="dxa" w:w="60"/>
              <w:right w:type="dxa" w:w="120"/>
            </w:tcMar>
          </w:tcPr>
          <w:p>
            <w:r>
              <w:rPr>
                <w:rFonts w:ascii="Calibri"/>
                <w:color w:val="000000"/>
                <w:sz w:val="21"/>
                <w:szCs w:val="21"/>
              </w:rPr>
              <w:t xml:space="preserve">~1.5%</w:t>
            </w:r>
          </w:p>
        </w:tc>
        <w:tc>
          <w:tcPr>
            <w:tcW w:type="pct" w:w="20%"/>
            <w:tcBorders>
              <w:top w:val="none"/>
              <w:left w:val="none"/>
              <w:bottom w:val="single" w:color="DDD0C8" w:sz="1"/>
              <w:right w:val="none"/>
            </w:tcBorders>
            <w:shd w:fill="FFFFFF" w:val="clear"/>
            <w:tcMar>
              <w:top w:type="dxa" w:w="60"/>
              <w:left w:type="dxa" w:w="120"/>
              <w:bottom w:type="dxa" w:w="60"/>
              <w:right w:type="dxa" w:w="120"/>
            </w:tcMar>
          </w:tcPr>
          <w:p>
            <w:r>
              <w:rPr>
                <w:rFonts w:ascii="Calibri"/>
                <w:color w:val="000000"/>
                <w:sz w:val="21"/>
                <w:szCs w:val="21"/>
              </w:rPr>
              <w:t xml:space="preserve">4%</w:t>
            </w:r>
          </w:p>
        </w:tc>
        <w:tc>
          <w:tcPr>
            <w:tcW w:type="pct" w:w="20%"/>
            <w:tcBorders>
              <w:top w:val="none"/>
              <w:left w:val="none"/>
              <w:bottom w:val="single" w:color="DDD0C8" w:sz="1"/>
              <w:right w:val="none"/>
            </w:tcBorders>
            <w:shd w:fill="FFFFFF" w:val="clear"/>
            <w:tcMar>
              <w:top w:type="dxa" w:w="60"/>
              <w:left w:type="dxa" w:w="120"/>
              <w:bottom w:type="dxa" w:w="60"/>
              <w:right w:type="dxa" w:w="120"/>
            </w:tcMar>
          </w:tcPr>
          <w:p>
            <w:r>
              <w:rPr>
                <w:rFonts w:ascii="Calibri"/>
                <w:color w:val="000000"/>
                <w:sz w:val="21"/>
                <w:szCs w:val="21"/>
              </w:rPr>
              <w:t xml:space="preserve">6%</w:t>
            </w:r>
          </w:p>
        </w:tc>
        <w:tc>
          <w:tcPr>
            <w:tcW w:type="pct" w:w="20%"/>
            <w:tcBorders>
              <w:top w:val="none"/>
              <w:left w:val="none"/>
              <w:bottom w:val="single" w:color="DDD0C8" w:sz="1"/>
              <w:right w:val="none"/>
            </w:tcBorders>
            <w:shd w:fill="FFFFFF" w:val="clear"/>
            <w:tcMar>
              <w:top w:type="dxa" w:w="60"/>
              <w:left w:type="dxa" w:w="120"/>
              <w:bottom w:type="dxa" w:w="60"/>
              <w:right w:type="dxa" w:w="120"/>
            </w:tcMar>
          </w:tcPr>
          <w:p>
            <w:r>
              <w:rPr>
                <w:rFonts w:ascii="Calibri"/>
                <w:color w:val="000000"/>
                <w:sz w:val="21"/>
                <w:szCs w:val="21"/>
              </w:rPr>
              <w:t xml:space="preserve">Feature gating, trial offers, social proof</w:t>
            </w:r>
          </w:p>
        </w:tc>
      </w:tr>
    </w:tbl>
    <w:p>
      <w:pPr>
        <w:spacing w:after="60" w:before="60"/>
      </w:pPr>
    </w:p>
    <w:p>
      <w:pPr>
        <w:pStyle w:val="Heading2"/>
        <w:spacing w:after="120" w:before="280" w:line="312"/>
      </w:pPr>
      <w:bookmarkStart w:id="100036" w:name="_Toc100036"/>
      <w:r>
        <w:rPr>
          <w:rFonts w:ascii="Times New Roman"/>
          <w:b/>
          <w:bCs/>
          <w:color w:val="0B1220"/>
          <w:sz w:val="28"/>
          <w:szCs w:val="28"/>
        </w:rPr>
        <w:t xml:space="preserve">6.2 Landing Page Optimization</w:t>
      </w:r>
      <w:bookmarkEnd w:id="100036"/>
    </w:p>
    <w:p>
      <w:pPr>
        <w:spacing w:after="120" w:line="312"/>
        <w:ind w:firstLine="480"/>
        <w:jc w:val="both"/>
      </w:pPr>
      <w:r>
        <w:rPr>
          <w:rFonts w:ascii="Times New Roman"/>
          <w:color w:val="000000"/>
          <w:sz w:val="24"/>
          <w:szCs w:val="24"/>
        </w:rPr>
        <w:t xml:space="preserve">The landing page is the single most important page for converting visitors into registrants. The current landing page already includes strong elements: an animated hero section with gradient orb and stats bar, a features section, an SPSS comparison table, a demo section, a pricing section, and a CTA section. The optimization strategy should focus on three areas. First, A/B testing the hero section headline and subheadline to find the highest-converting value proposition. Second, adding social proof elements throughout the page, including user testimonials, logos of organizations using the platform, and real-time usage statistics. Third, optimizing the CTA placement and copy, testing different button text ('Get Started Free' vs 'Compare AI Models Now' vs 'Start Your Free Analysis') and positions (above the fold vs after features vs after pricing).</w:t>
      </w:r>
    </w:p>
    <w:p>
      <w:pPr>
        <w:pStyle w:val="Heading2"/>
        <w:spacing w:after="120" w:before="280" w:line="312"/>
      </w:pPr>
      <w:bookmarkStart w:id="100037" w:name="_Toc100037"/>
      <w:r>
        <w:rPr>
          <w:rFonts w:ascii="Times New Roman"/>
          <w:b/>
          <w:bCs/>
          <w:color w:val="0B1220"/>
          <w:sz w:val="28"/>
          <w:szCs w:val="28"/>
        </w:rPr>
        <w:t xml:space="preserve">6.3 In-Product Conversion Optimization</w:t>
      </w:r>
      <w:bookmarkEnd w:id="100037"/>
    </w:p>
    <w:p>
      <w:pPr>
        <w:spacing w:after="120" w:line="312"/>
        <w:ind w:firstLine="480"/>
        <w:jc w:val="both"/>
      </w:pPr>
      <w:r>
        <w:rPr>
          <w:rFonts w:ascii="Times New Roman"/>
          <w:color w:val="000000"/>
          <w:sz w:val="24"/>
          <w:szCs w:val="24"/>
        </w:rPr>
        <w:t xml:space="preserve">In-product conversion optimization targets users who are already registered and using the platform, focusing on converting them to paid subscribers. Key tactics include implementing smart upgrade prompts that appear contextually when a user is about to hit a free tier limit (for example, when they have used 90 of their 100 daily API calls), displaying comparison modals that show what features are available on paid tiers when a user tries to access a Pro or Enterprise-only feature, sending triggered emails when usage patterns indicate the user would benefit from upgrading (such as a user who consistently hits the 100MB storage limit), and implementing a time-limited Pro trial for highly engaged free users who show strong activation signals.</w:t>
      </w:r>
    </w:p>
    <w:p>
      <w:pPr>
        <w:pStyle w:val="Heading1"/>
        <w:spacing w:after="160" w:before="360" w:line="312"/>
      </w:pPr>
      <w:bookmarkStart w:id="100038" w:name="_Toc100038"/>
      <w:r>
        <w:rPr>
          <w:rFonts w:ascii="Times New Roman"/>
          <w:b/>
          <w:bCs/>
          <w:color w:val="0B1220"/>
          <w:sz w:val="32"/>
          <w:szCs w:val="32"/>
        </w:rPr>
        <w:t xml:space="preserve">7. Performance Monitoring &amp; Continuous Improvement</w:t>
      </w:r>
      <w:bookmarkEnd w:id="100038"/>
    </w:p>
    <w:p>
      <w:pPr>
        <w:pStyle w:val="Heading2"/>
        <w:spacing w:after="120" w:before="280" w:line="312"/>
      </w:pPr>
      <w:bookmarkStart w:id="100039" w:name="_Toc100039"/>
      <w:r>
        <w:rPr>
          <w:rFonts w:ascii="Times New Roman"/>
          <w:b/>
          <w:bCs/>
          <w:color w:val="0B1220"/>
          <w:sz w:val="28"/>
          <w:szCs w:val="28"/>
        </w:rPr>
        <w:t xml:space="preserve">7.1 KPI Dashboard</w:t>
      </w:r>
      <w:bookmarkEnd w:id="100039"/>
    </w:p>
    <w:p>
      <w:pPr>
        <w:spacing w:after="120" w:line="312"/>
        <w:ind w:firstLine="480"/>
        <w:jc w:val="both"/>
      </w:pPr>
      <w:r>
        <w:rPr>
          <w:rFonts w:ascii="Times New Roman"/>
          <w:color w:val="000000"/>
          <w:sz w:val="24"/>
          <w:szCs w:val="24"/>
        </w:rPr>
        <w:t xml:space="preserve">A comprehensive KPI dashboard should be established to track the performance of all marketing activities and their impact on business outcomes. The dashboard should provide real-time visibility into acquisition metrics, engagement metrics, conversion metrics, revenue metrics, and efficiency metrics. This dashboard should be accessible to all stakeholders and updated automatically through API integrations between the analytics platform, ad platforms, email service provider, and the platform's internal metrics system.</w:t>
      </w:r>
    </w:p>
    <w:p>
      <w:pPr>
        <w:keepNext/>
        <w:spacing w:after="80" w:before="200" w:line="312"/>
      </w:pPr>
      <w:r>
        <w:rPr>
          <w:rFonts w:ascii="Times New Roman"/>
          <w:b/>
          <w:bCs/>
          <w:color w:val="506070"/>
          <w:sz w:val="21"/>
          <w:szCs w:val="21"/>
        </w:rPr>
        <w:t xml:space="preserve">Table 9: Key Performance Indicators</w:t>
      </w:r>
    </w:p>
    <w:tbl>
      <w:tblPr>
        <w:tblW w:type="pct" w:w="100%"/>
        <w:tblBorders>
          <w:top w:val="single" w:color="D4875A" w:sz="2"/>
          <w:left w:val="none"/>
          <w:bottom w:val="single" w:color="D4875A" w:sz="2"/>
          <w:right w:val="none"/>
          <w:insideH w:val="single" w:color="DDD0C8" w:sz="1"/>
          <w:insideV w:val="none"/>
        </w:tblBorders>
        <w:tblLayout w:type="fixed"/>
      </w:tblPr>
      <w:tblGrid>
        <w:gridCol w:w="100"/>
        <w:gridCol w:w="100"/>
        <w:gridCol w:w="100"/>
        <w:gridCol w:w="100"/>
        <w:gridCol w:w="100"/>
      </w:tblGrid>
      <w:tr>
        <w:trPr>
          <w:cantSplit/>
          <w:tblHeader/>
        </w:trPr>
        <w:tc>
          <w:tcPr>
            <w:tcW w:type="pct" w:w="20%"/>
            <w:tcBorders>
              <w:top w:val="none"/>
              <w:left w:val="none"/>
              <w:bottom w:val="single" w:color="D4875A" w:sz="2"/>
              <w:right w:val="none"/>
            </w:tcBorders>
            <w:shd w:fill="D4875A" w:val="clear"/>
            <w:tcMar>
              <w:top w:type="dxa" w:w="60"/>
              <w:left w:type="dxa" w:w="120"/>
              <w:bottom w:type="dxa" w:w="60"/>
              <w:right w:type="dxa" w:w="120"/>
            </w:tcMar>
          </w:tcPr>
          <w:p>
            <w:r>
              <w:rPr>
                <w:rFonts w:ascii="Calibri"/>
                <w:b/>
                <w:bCs/>
                <w:color w:val="FFFFFF"/>
                <w:sz w:val="21"/>
                <w:szCs w:val="21"/>
              </w:rPr>
              <w:t xml:space="preserve">KPI Category</w:t>
            </w:r>
          </w:p>
        </w:tc>
        <w:tc>
          <w:tcPr>
            <w:tcW w:type="pct" w:w="20%"/>
            <w:tcBorders>
              <w:top w:val="none"/>
              <w:left w:val="none"/>
              <w:bottom w:val="single" w:color="D4875A" w:sz="2"/>
              <w:right w:val="none"/>
            </w:tcBorders>
            <w:shd w:fill="D4875A" w:val="clear"/>
            <w:tcMar>
              <w:top w:type="dxa" w:w="60"/>
              <w:left w:type="dxa" w:w="120"/>
              <w:bottom w:type="dxa" w:w="60"/>
              <w:right w:type="dxa" w:w="120"/>
            </w:tcMar>
          </w:tcPr>
          <w:p>
            <w:r>
              <w:rPr>
                <w:rFonts w:ascii="Calibri"/>
                <w:b/>
                <w:bCs/>
                <w:color w:val="FFFFFF"/>
                <w:sz w:val="21"/>
                <w:szCs w:val="21"/>
              </w:rPr>
              <w:t xml:space="preserve">Metric</w:t>
            </w:r>
          </w:p>
        </w:tc>
        <w:tc>
          <w:tcPr>
            <w:tcW w:type="pct" w:w="20%"/>
            <w:tcBorders>
              <w:top w:val="none"/>
              <w:left w:val="none"/>
              <w:bottom w:val="single" w:color="D4875A" w:sz="2"/>
              <w:right w:val="none"/>
            </w:tcBorders>
            <w:shd w:fill="D4875A" w:val="clear"/>
            <w:tcMar>
              <w:top w:type="dxa" w:w="60"/>
              <w:left w:type="dxa" w:w="120"/>
              <w:bottom w:type="dxa" w:w="60"/>
              <w:right w:type="dxa" w:w="120"/>
            </w:tcMar>
          </w:tcPr>
          <w:p>
            <w:r>
              <w:rPr>
                <w:rFonts w:ascii="Calibri"/>
                <w:b/>
                <w:bCs/>
                <w:color w:val="FFFFFF"/>
                <w:sz w:val="21"/>
                <w:szCs w:val="21"/>
              </w:rPr>
              <w:t xml:space="preserve">Baseline</w:t>
            </w:r>
          </w:p>
        </w:tc>
        <w:tc>
          <w:tcPr>
            <w:tcW w:type="pct" w:w="20%"/>
            <w:tcBorders>
              <w:top w:val="none"/>
              <w:left w:val="none"/>
              <w:bottom w:val="single" w:color="D4875A" w:sz="2"/>
              <w:right w:val="none"/>
            </w:tcBorders>
            <w:shd w:fill="D4875A" w:val="clear"/>
            <w:tcMar>
              <w:top w:type="dxa" w:w="60"/>
              <w:left w:type="dxa" w:w="120"/>
              <w:bottom w:type="dxa" w:w="60"/>
              <w:right w:type="dxa" w:w="120"/>
            </w:tcMar>
          </w:tcPr>
          <w:p>
            <w:r>
              <w:rPr>
                <w:rFonts w:ascii="Calibri"/>
                <w:b/>
                <w:bCs/>
                <w:color w:val="FFFFFF"/>
                <w:sz w:val="21"/>
                <w:szCs w:val="21"/>
              </w:rPr>
              <w:t xml:space="preserve">6-Month Target</w:t>
            </w:r>
          </w:p>
        </w:tc>
        <w:tc>
          <w:tcPr>
            <w:tcW w:type="pct" w:w="20%"/>
            <w:tcBorders>
              <w:top w:val="none"/>
              <w:left w:val="none"/>
              <w:bottom w:val="single" w:color="D4875A" w:sz="2"/>
              <w:right w:val="none"/>
            </w:tcBorders>
            <w:shd w:fill="D4875A" w:val="clear"/>
            <w:tcMar>
              <w:top w:type="dxa" w:w="60"/>
              <w:left w:type="dxa" w:w="120"/>
              <w:bottom w:type="dxa" w:w="60"/>
              <w:right w:type="dxa" w:w="120"/>
            </w:tcMar>
          </w:tcPr>
          <w:p>
            <w:r>
              <w:rPr>
                <w:rFonts w:ascii="Calibri"/>
                <w:b/>
                <w:bCs/>
                <w:color w:val="FFFFFF"/>
                <w:sz w:val="21"/>
                <w:szCs w:val="21"/>
              </w:rPr>
              <w:t xml:space="preserve">12-Month Target</w:t>
            </w:r>
          </w:p>
        </w:tc>
      </w:tr>
      <w:tr>
        <w:trPr>
          <w:cantSplit/>
        </w:trPr>
        <w:tc>
          <w:tcPr>
            <w:tcW w:type="pct" w:w="20%"/>
            <w:tcBorders>
              <w:top w:val="none"/>
              <w:left w:val="none"/>
              <w:bottom w:val="single" w:color="DDD0C8" w:sz="1"/>
              <w:right w:val="none"/>
            </w:tcBorders>
            <w:shd w:fill="F8F0EB" w:val="clear"/>
            <w:tcMar>
              <w:top w:type="dxa" w:w="60"/>
              <w:left w:type="dxa" w:w="120"/>
              <w:bottom w:type="dxa" w:w="60"/>
              <w:right w:type="dxa" w:w="120"/>
            </w:tcMar>
          </w:tcPr>
          <w:p>
            <w:r>
              <w:rPr>
                <w:rFonts w:ascii="Calibri"/>
                <w:color w:val="000000"/>
                <w:sz w:val="21"/>
                <w:szCs w:val="21"/>
              </w:rPr>
              <w:t xml:space="preserve">Acquisition</w:t>
            </w:r>
          </w:p>
        </w:tc>
        <w:tc>
          <w:tcPr>
            <w:tcW w:type="pct" w:w="20%"/>
            <w:tcBorders>
              <w:top w:val="none"/>
              <w:left w:val="none"/>
              <w:bottom w:val="single" w:color="DDD0C8" w:sz="1"/>
              <w:right w:val="none"/>
            </w:tcBorders>
            <w:shd w:fill="F8F0EB" w:val="clear"/>
            <w:tcMar>
              <w:top w:type="dxa" w:w="60"/>
              <w:left w:type="dxa" w:w="120"/>
              <w:bottom w:type="dxa" w:w="60"/>
              <w:right w:type="dxa" w:w="120"/>
            </w:tcMar>
          </w:tcPr>
          <w:p>
            <w:r>
              <w:rPr>
                <w:rFonts w:ascii="Calibri"/>
                <w:color w:val="000000"/>
                <w:sz w:val="21"/>
                <w:szCs w:val="21"/>
              </w:rPr>
              <w:t xml:space="preserve">Monthly organic sessions</w:t>
            </w:r>
          </w:p>
        </w:tc>
        <w:tc>
          <w:tcPr>
            <w:tcW w:type="pct" w:w="20%"/>
            <w:tcBorders>
              <w:top w:val="none"/>
              <w:left w:val="none"/>
              <w:bottom w:val="single" w:color="DDD0C8" w:sz="1"/>
              <w:right w:val="none"/>
            </w:tcBorders>
            <w:shd w:fill="F8F0EB" w:val="clear"/>
            <w:tcMar>
              <w:top w:type="dxa" w:w="60"/>
              <w:left w:type="dxa" w:w="120"/>
              <w:bottom w:type="dxa" w:w="60"/>
              <w:right w:type="dxa" w:w="120"/>
            </w:tcMar>
          </w:tcPr>
          <w:p>
            <w:r>
              <w:rPr>
                <w:rFonts w:ascii="Calibri"/>
                <w:color w:val="000000"/>
                <w:sz w:val="21"/>
                <w:szCs w:val="21"/>
              </w:rPr>
              <w:t xml:space="preserve">TBD</w:t>
            </w:r>
          </w:p>
        </w:tc>
        <w:tc>
          <w:tcPr>
            <w:tcW w:type="pct" w:w="20%"/>
            <w:tcBorders>
              <w:top w:val="none"/>
              <w:left w:val="none"/>
              <w:bottom w:val="single" w:color="DDD0C8" w:sz="1"/>
              <w:right w:val="none"/>
            </w:tcBorders>
            <w:shd w:fill="F8F0EB" w:val="clear"/>
            <w:tcMar>
              <w:top w:type="dxa" w:w="60"/>
              <w:left w:type="dxa" w:w="120"/>
              <w:bottom w:type="dxa" w:w="60"/>
              <w:right w:type="dxa" w:w="120"/>
            </w:tcMar>
          </w:tcPr>
          <w:p>
            <w:r>
              <w:rPr>
                <w:rFonts w:ascii="Calibri"/>
                <w:color w:val="000000"/>
                <w:sz w:val="21"/>
                <w:szCs w:val="21"/>
              </w:rPr>
              <w:t xml:space="preserve">+150%</w:t>
            </w:r>
          </w:p>
        </w:tc>
        <w:tc>
          <w:tcPr>
            <w:tcW w:type="pct" w:w="20%"/>
            <w:tcBorders>
              <w:top w:val="none"/>
              <w:left w:val="none"/>
              <w:bottom w:val="single" w:color="DDD0C8" w:sz="1"/>
              <w:right w:val="none"/>
            </w:tcBorders>
            <w:shd w:fill="F8F0EB" w:val="clear"/>
            <w:tcMar>
              <w:top w:type="dxa" w:w="60"/>
              <w:left w:type="dxa" w:w="120"/>
              <w:bottom w:type="dxa" w:w="60"/>
              <w:right w:type="dxa" w:w="120"/>
            </w:tcMar>
          </w:tcPr>
          <w:p>
            <w:r>
              <w:rPr>
                <w:rFonts w:ascii="Calibri"/>
                <w:color w:val="000000"/>
                <w:sz w:val="21"/>
                <w:szCs w:val="21"/>
              </w:rPr>
              <w:t xml:space="preserve">+300%</w:t>
            </w:r>
          </w:p>
        </w:tc>
      </w:tr>
      <w:tr>
        <w:trPr>
          <w:cantSplit/>
        </w:trPr>
        <w:tc>
          <w:tcPr>
            <w:tcW w:type="pct" w:w="20%"/>
            <w:tcBorders>
              <w:top w:val="none"/>
              <w:left w:val="none"/>
              <w:bottom w:val="single" w:color="DDD0C8" w:sz="1"/>
              <w:right w:val="none"/>
            </w:tcBorders>
            <w:shd w:fill="FFFFFF" w:val="clear"/>
            <w:tcMar>
              <w:top w:type="dxa" w:w="60"/>
              <w:left w:type="dxa" w:w="120"/>
              <w:bottom w:type="dxa" w:w="60"/>
              <w:right w:type="dxa" w:w="120"/>
            </w:tcMar>
          </w:tcPr>
          <w:p>
            <w:r>
              <w:rPr>
                <w:rFonts w:ascii="Calibri"/>
                <w:color w:val="000000"/>
                <w:sz w:val="21"/>
                <w:szCs w:val="21"/>
              </w:rPr>
              <w:t xml:space="preserve">Acquisition</w:t>
            </w:r>
          </w:p>
        </w:tc>
        <w:tc>
          <w:tcPr>
            <w:tcW w:type="pct" w:w="20%"/>
            <w:tcBorders>
              <w:top w:val="none"/>
              <w:left w:val="none"/>
              <w:bottom w:val="single" w:color="DDD0C8" w:sz="1"/>
              <w:right w:val="none"/>
            </w:tcBorders>
            <w:shd w:fill="FFFFFF" w:val="clear"/>
            <w:tcMar>
              <w:top w:type="dxa" w:w="60"/>
              <w:left w:type="dxa" w:w="120"/>
              <w:bottom w:type="dxa" w:w="60"/>
              <w:right w:type="dxa" w:w="120"/>
            </w:tcMar>
          </w:tcPr>
          <w:p>
            <w:r>
              <w:rPr>
                <w:rFonts w:ascii="Calibri"/>
                <w:color w:val="000000"/>
                <w:sz w:val="21"/>
                <w:szCs w:val="21"/>
              </w:rPr>
              <w:t xml:space="preserve">Monthly paid sessions</w:t>
            </w:r>
          </w:p>
        </w:tc>
        <w:tc>
          <w:tcPr>
            <w:tcW w:type="pct" w:w="20%"/>
            <w:tcBorders>
              <w:top w:val="none"/>
              <w:left w:val="none"/>
              <w:bottom w:val="single" w:color="DDD0C8" w:sz="1"/>
              <w:right w:val="none"/>
            </w:tcBorders>
            <w:shd w:fill="FFFFFF" w:val="clear"/>
            <w:tcMar>
              <w:top w:type="dxa" w:w="60"/>
              <w:left w:type="dxa" w:w="120"/>
              <w:bottom w:type="dxa" w:w="60"/>
              <w:right w:type="dxa" w:w="120"/>
            </w:tcMar>
          </w:tcPr>
          <w:p>
            <w:r>
              <w:rPr>
                <w:rFonts w:ascii="Calibri"/>
                <w:color w:val="000000"/>
                <w:sz w:val="21"/>
                <w:szCs w:val="21"/>
              </w:rPr>
              <w:t xml:space="preserve">0</w:t>
            </w:r>
          </w:p>
        </w:tc>
        <w:tc>
          <w:tcPr>
            <w:tcW w:type="pct" w:w="20%"/>
            <w:tcBorders>
              <w:top w:val="none"/>
              <w:left w:val="none"/>
              <w:bottom w:val="single" w:color="DDD0C8" w:sz="1"/>
              <w:right w:val="none"/>
            </w:tcBorders>
            <w:shd w:fill="FFFFFF" w:val="clear"/>
            <w:tcMar>
              <w:top w:type="dxa" w:w="60"/>
              <w:left w:type="dxa" w:w="120"/>
              <w:bottom w:type="dxa" w:w="60"/>
              <w:right w:type="dxa" w:w="120"/>
            </w:tcMar>
          </w:tcPr>
          <w:p>
            <w:r>
              <w:rPr>
                <w:rFonts w:ascii="Calibri"/>
                <w:color w:val="000000"/>
                <w:sz w:val="21"/>
                <w:szCs w:val="21"/>
              </w:rPr>
              <w:t xml:space="preserve">5,000</w:t>
            </w:r>
          </w:p>
        </w:tc>
        <w:tc>
          <w:tcPr>
            <w:tcW w:type="pct" w:w="20%"/>
            <w:tcBorders>
              <w:top w:val="none"/>
              <w:left w:val="none"/>
              <w:bottom w:val="single" w:color="DDD0C8" w:sz="1"/>
              <w:right w:val="none"/>
            </w:tcBorders>
            <w:shd w:fill="FFFFFF" w:val="clear"/>
            <w:tcMar>
              <w:top w:type="dxa" w:w="60"/>
              <w:left w:type="dxa" w:w="120"/>
              <w:bottom w:type="dxa" w:w="60"/>
              <w:right w:type="dxa" w:w="120"/>
            </w:tcMar>
          </w:tcPr>
          <w:p>
            <w:r>
              <w:rPr>
                <w:rFonts w:ascii="Calibri"/>
                <w:color w:val="000000"/>
                <w:sz w:val="21"/>
                <w:szCs w:val="21"/>
              </w:rPr>
              <w:t xml:space="preserve">12,000</w:t>
            </w:r>
          </w:p>
        </w:tc>
      </w:tr>
      <w:tr>
        <w:trPr>
          <w:cantSplit/>
        </w:trPr>
        <w:tc>
          <w:tcPr>
            <w:tcW w:type="pct" w:w="20%"/>
            <w:tcBorders>
              <w:top w:val="none"/>
              <w:left w:val="none"/>
              <w:bottom w:val="single" w:color="DDD0C8" w:sz="1"/>
              <w:right w:val="none"/>
            </w:tcBorders>
            <w:shd w:fill="F8F0EB" w:val="clear"/>
            <w:tcMar>
              <w:top w:type="dxa" w:w="60"/>
              <w:left w:type="dxa" w:w="120"/>
              <w:bottom w:type="dxa" w:w="60"/>
              <w:right w:type="dxa" w:w="120"/>
            </w:tcMar>
          </w:tcPr>
          <w:p>
            <w:r>
              <w:rPr>
                <w:rFonts w:ascii="Calibri"/>
                <w:color w:val="000000"/>
                <w:sz w:val="21"/>
                <w:szCs w:val="21"/>
              </w:rPr>
              <w:t xml:space="preserve">Acquisition</w:t>
            </w:r>
          </w:p>
        </w:tc>
        <w:tc>
          <w:tcPr>
            <w:tcW w:type="pct" w:w="20%"/>
            <w:tcBorders>
              <w:top w:val="none"/>
              <w:left w:val="none"/>
              <w:bottom w:val="single" w:color="DDD0C8" w:sz="1"/>
              <w:right w:val="none"/>
            </w:tcBorders>
            <w:shd w:fill="F8F0EB" w:val="clear"/>
            <w:tcMar>
              <w:top w:type="dxa" w:w="60"/>
              <w:left w:type="dxa" w:w="120"/>
              <w:bottom w:type="dxa" w:w="60"/>
              <w:right w:type="dxa" w:w="120"/>
            </w:tcMar>
          </w:tcPr>
          <w:p>
            <w:r>
              <w:rPr>
                <w:rFonts w:ascii="Calibri"/>
                <w:color w:val="000000"/>
                <w:sz w:val="21"/>
                <w:szCs w:val="21"/>
              </w:rPr>
              <w:t xml:space="preserve">Monthly new registrations</w:t>
            </w:r>
          </w:p>
        </w:tc>
        <w:tc>
          <w:tcPr>
            <w:tcW w:type="pct" w:w="20%"/>
            <w:tcBorders>
              <w:top w:val="none"/>
              <w:left w:val="none"/>
              <w:bottom w:val="single" w:color="DDD0C8" w:sz="1"/>
              <w:right w:val="none"/>
            </w:tcBorders>
            <w:shd w:fill="F8F0EB" w:val="clear"/>
            <w:tcMar>
              <w:top w:type="dxa" w:w="60"/>
              <w:left w:type="dxa" w:w="120"/>
              <w:bottom w:type="dxa" w:w="60"/>
              <w:right w:type="dxa" w:w="120"/>
            </w:tcMar>
          </w:tcPr>
          <w:p>
            <w:r>
              <w:rPr>
                <w:rFonts w:ascii="Calibri"/>
                <w:color w:val="000000"/>
                <w:sz w:val="21"/>
                <w:szCs w:val="21"/>
              </w:rPr>
              <w:t xml:space="preserve">TBD</w:t>
            </w:r>
          </w:p>
        </w:tc>
        <w:tc>
          <w:tcPr>
            <w:tcW w:type="pct" w:w="20%"/>
            <w:tcBorders>
              <w:top w:val="none"/>
              <w:left w:val="none"/>
              <w:bottom w:val="single" w:color="DDD0C8" w:sz="1"/>
              <w:right w:val="none"/>
            </w:tcBorders>
            <w:shd w:fill="F8F0EB" w:val="clear"/>
            <w:tcMar>
              <w:top w:type="dxa" w:w="60"/>
              <w:left w:type="dxa" w:w="120"/>
              <w:bottom w:type="dxa" w:w="60"/>
              <w:right w:type="dxa" w:w="120"/>
            </w:tcMar>
          </w:tcPr>
          <w:p>
            <w:r>
              <w:rPr>
                <w:rFonts w:ascii="Calibri"/>
                <w:color w:val="000000"/>
                <w:sz w:val="21"/>
                <w:szCs w:val="21"/>
              </w:rPr>
              <w:t xml:space="preserve">+200%</w:t>
            </w:r>
          </w:p>
        </w:tc>
        <w:tc>
          <w:tcPr>
            <w:tcW w:type="pct" w:w="20%"/>
            <w:tcBorders>
              <w:top w:val="none"/>
              <w:left w:val="none"/>
              <w:bottom w:val="single" w:color="DDD0C8" w:sz="1"/>
              <w:right w:val="none"/>
            </w:tcBorders>
            <w:shd w:fill="F8F0EB" w:val="clear"/>
            <w:tcMar>
              <w:top w:type="dxa" w:w="60"/>
              <w:left w:type="dxa" w:w="120"/>
              <w:bottom w:type="dxa" w:w="60"/>
              <w:right w:type="dxa" w:w="120"/>
            </w:tcMar>
          </w:tcPr>
          <w:p>
            <w:r>
              <w:rPr>
                <w:rFonts w:ascii="Calibri"/>
                <w:color w:val="000000"/>
                <w:sz w:val="21"/>
                <w:szCs w:val="21"/>
              </w:rPr>
              <w:t xml:space="preserve">+400%</w:t>
            </w:r>
          </w:p>
        </w:tc>
      </w:tr>
      <w:tr>
        <w:trPr>
          <w:cantSplit/>
        </w:trPr>
        <w:tc>
          <w:tcPr>
            <w:tcW w:type="pct" w:w="20%"/>
            <w:tcBorders>
              <w:top w:val="none"/>
              <w:left w:val="none"/>
              <w:bottom w:val="single" w:color="DDD0C8" w:sz="1"/>
              <w:right w:val="none"/>
            </w:tcBorders>
            <w:shd w:fill="FFFFFF" w:val="clear"/>
            <w:tcMar>
              <w:top w:type="dxa" w:w="60"/>
              <w:left w:type="dxa" w:w="120"/>
              <w:bottom w:type="dxa" w:w="60"/>
              <w:right w:type="dxa" w:w="120"/>
            </w:tcMar>
          </w:tcPr>
          <w:p>
            <w:r>
              <w:rPr>
                <w:rFonts w:ascii="Calibri"/>
                <w:color w:val="000000"/>
                <w:sz w:val="21"/>
                <w:szCs w:val="21"/>
              </w:rPr>
              <w:t xml:space="preserve">Engagement</w:t>
            </w:r>
          </w:p>
        </w:tc>
        <w:tc>
          <w:tcPr>
            <w:tcW w:type="pct" w:w="20%"/>
            <w:tcBorders>
              <w:top w:val="none"/>
              <w:left w:val="none"/>
              <w:bottom w:val="single" w:color="DDD0C8" w:sz="1"/>
              <w:right w:val="none"/>
            </w:tcBorders>
            <w:shd w:fill="FFFFFF" w:val="clear"/>
            <w:tcMar>
              <w:top w:type="dxa" w:w="60"/>
              <w:left w:type="dxa" w:w="120"/>
              <w:bottom w:type="dxa" w:w="60"/>
              <w:right w:type="dxa" w:w="120"/>
            </w:tcMar>
          </w:tcPr>
          <w:p>
            <w:r>
              <w:rPr>
                <w:rFonts w:ascii="Calibri"/>
                <w:color w:val="000000"/>
                <w:sz w:val="21"/>
                <w:szCs w:val="21"/>
              </w:rPr>
              <w:t xml:space="preserve">DAU/MAU ratio</w:t>
            </w:r>
          </w:p>
        </w:tc>
        <w:tc>
          <w:tcPr>
            <w:tcW w:type="pct" w:w="20%"/>
            <w:tcBorders>
              <w:top w:val="none"/>
              <w:left w:val="none"/>
              <w:bottom w:val="single" w:color="DDD0C8" w:sz="1"/>
              <w:right w:val="none"/>
            </w:tcBorders>
            <w:shd w:fill="FFFFFF" w:val="clear"/>
            <w:tcMar>
              <w:top w:type="dxa" w:w="60"/>
              <w:left w:type="dxa" w:w="120"/>
              <w:bottom w:type="dxa" w:w="60"/>
              <w:right w:type="dxa" w:w="120"/>
            </w:tcMar>
          </w:tcPr>
          <w:p>
            <w:r>
              <w:rPr>
                <w:rFonts w:ascii="Calibri"/>
                <w:color w:val="000000"/>
                <w:sz w:val="21"/>
                <w:szCs w:val="21"/>
              </w:rPr>
              <w:t xml:space="preserve">TBD</w:t>
            </w:r>
          </w:p>
        </w:tc>
        <w:tc>
          <w:tcPr>
            <w:tcW w:type="pct" w:w="20%"/>
            <w:tcBorders>
              <w:top w:val="none"/>
              <w:left w:val="none"/>
              <w:bottom w:val="single" w:color="DDD0C8" w:sz="1"/>
              <w:right w:val="none"/>
            </w:tcBorders>
            <w:shd w:fill="FFFFFF" w:val="clear"/>
            <w:tcMar>
              <w:top w:type="dxa" w:w="60"/>
              <w:left w:type="dxa" w:w="120"/>
              <w:bottom w:type="dxa" w:w="60"/>
              <w:right w:type="dxa" w:w="120"/>
            </w:tcMar>
          </w:tcPr>
          <w:p>
            <w:r>
              <w:rPr>
                <w:rFonts w:ascii="Calibri"/>
                <w:color w:val="000000"/>
                <w:sz w:val="21"/>
                <w:szCs w:val="21"/>
              </w:rPr>
              <w:t xml:space="preserve">&gt; 25%</w:t>
            </w:r>
          </w:p>
        </w:tc>
        <w:tc>
          <w:tcPr>
            <w:tcW w:type="pct" w:w="20%"/>
            <w:tcBorders>
              <w:top w:val="none"/>
              <w:left w:val="none"/>
              <w:bottom w:val="single" w:color="DDD0C8" w:sz="1"/>
              <w:right w:val="none"/>
            </w:tcBorders>
            <w:shd w:fill="FFFFFF" w:val="clear"/>
            <w:tcMar>
              <w:top w:type="dxa" w:w="60"/>
              <w:left w:type="dxa" w:w="120"/>
              <w:bottom w:type="dxa" w:w="60"/>
              <w:right w:type="dxa" w:w="120"/>
            </w:tcMar>
          </w:tcPr>
          <w:p>
            <w:r>
              <w:rPr>
                <w:rFonts w:ascii="Calibri"/>
                <w:color w:val="000000"/>
                <w:sz w:val="21"/>
                <w:szCs w:val="21"/>
              </w:rPr>
              <w:t xml:space="preserve">&gt; 35%</w:t>
            </w:r>
          </w:p>
        </w:tc>
      </w:tr>
      <w:tr>
        <w:trPr>
          <w:cantSplit/>
        </w:trPr>
        <w:tc>
          <w:tcPr>
            <w:tcW w:type="pct" w:w="20%"/>
            <w:tcBorders>
              <w:top w:val="none"/>
              <w:left w:val="none"/>
              <w:bottom w:val="single" w:color="DDD0C8" w:sz="1"/>
              <w:right w:val="none"/>
            </w:tcBorders>
            <w:shd w:fill="F8F0EB" w:val="clear"/>
            <w:tcMar>
              <w:top w:type="dxa" w:w="60"/>
              <w:left w:type="dxa" w:w="120"/>
              <w:bottom w:type="dxa" w:w="60"/>
              <w:right w:type="dxa" w:w="120"/>
            </w:tcMar>
          </w:tcPr>
          <w:p>
            <w:r>
              <w:rPr>
                <w:rFonts w:ascii="Calibri"/>
                <w:color w:val="000000"/>
                <w:sz w:val="21"/>
                <w:szCs w:val="21"/>
              </w:rPr>
              <w:t xml:space="preserve">Engagement</w:t>
            </w:r>
          </w:p>
        </w:tc>
        <w:tc>
          <w:tcPr>
            <w:tcW w:type="pct" w:w="20%"/>
            <w:tcBorders>
              <w:top w:val="none"/>
              <w:left w:val="none"/>
              <w:bottom w:val="single" w:color="DDD0C8" w:sz="1"/>
              <w:right w:val="none"/>
            </w:tcBorders>
            <w:shd w:fill="F8F0EB" w:val="clear"/>
            <w:tcMar>
              <w:top w:type="dxa" w:w="60"/>
              <w:left w:type="dxa" w:w="120"/>
              <w:bottom w:type="dxa" w:w="60"/>
              <w:right w:type="dxa" w:w="120"/>
            </w:tcMar>
          </w:tcPr>
          <w:p>
            <w:r>
              <w:rPr>
                <w:rFonts w:ascii="Calibri"/>
                <w:color w:val="000000"/>
                <w:sz w:val="21"/>
                <w:szCs w:val="21"/>
              </w:rPr>
              <w:t xml:space="preserve">Avg. session duration</w:t>
            </w:r>
          </w:p>
        </w:tc>
        <w:tc>
          <w:tcPr>
            <w:tcW w:type="pct" w:w="20%"/>
            <w:tcBorders>
              <w:top w:val="none"/>
              <w:left w:val="none"/>
              <w:bottom w:val="single" w:color="DDD0C8" w:sz="1"/>
              <w:right w:val="none"/>
            </w:tcBorders>
            <w:shd w:fill="F8F0EB" w:val="clear"/>
            <w:tcMar>
              <w:top w:type="dxa" w:w="60"/>
              <w:left w:type="dxa" w:w="120"/>
              <w:bottom w:type="dxa" w:w="60"/>
              <w:right w:type="dxa" w:w="120"/>
            </w:tcMar>
          </w:tcPr>
          <w:p>
            <w:r>
              <w:rPr>
                <w:rFonts w:ascii="Calibri"/>
                <w:color w:val="000000"/>
                <w:sz w:val="21"/>
                <w:szCs w:val="21"/>
              </w:rPr>
              <w:t xml:space="preserve">TBD</w:t>
            </w:r>
          </w:p>
        </w:tc>
        <w:tc>
          <w:tcPr>
            <w:tcW w:type="pct" w:w="20%"/>
            <w:tcBorders>
              <w:top w:val="none"/>
              <w:left w:val="none"/>
              <w:bottom w:val="single" w:color="DDD0C8" w:sz="1"/>
              <w:right w:val="none"/>
            </w:tcBorders>
            <w:shd w:fill="F8F0EB" w:val="clear"/>
            <w:tcMar>
              <w:top w:type="dxa" w:w="60"/>
              <w:left w:type="dxa" w:w="120"/>
              <w:bottom w:type="dxa" w:w="60"/>
              <w:right w:type="dxa" w:w="120"/>
            </w:tcMar>
          </w:tcPr>
          <w:p>
            <w:r>
              <w:rPr>
                <w:rFonts w:ascii="Calibri"/>
                <w:color w:val="000000"/>
                <w:sz w:val="21"/>
                <w:szCs w:val="21"/>
              </w:rPr>
              <w:t xml:space="preserve">&gt; 4 min</w:t>
            </w:r>
          </w:p>
        </w:tc>
        <w:tc>
          <w:tcPr>
            <w:tcW w:type="pct" w:w="20%"/>
            <w:tcBorders>
              <w:top w:val="none"/>
              <w:left w:val="none"/>
              <w:bottom w:val="single" w:color="DDD0C8" w:sz="1"/>
              <w:right w:val="none"/>
            </w:tcBorders>
            <w:shd w:fill="F8F0EB" w:val="clear"/>
            <w:tcMar>
              <w:top w:type="dxa" w:w="60"/>
              <w:left w:type="dxa" w:w="120"/>
              <w:bottom w:type="dxa" w:w="60"/>
              <w:right w:type="dxa" w:w="120"/>
            </w:tcMar>
          </w:tcPr>
          <w:p>
            <w:r>
              <w:rPr>
                <w:rFonts w:ascii="Calibri"/>
                <w:color w:val="000000"/>
                <w:sz w:val="21"/>
                <w:szCs w:val="21"/>
              </w:rPr>
              <w:t xml:space="preserve">&gt; 6 min</w:t>
            </w:r>
          </w:p>
        </w:tc>
      </w:tr>
      <w:tr>
        <w:trPr>
          <w:cantSplit/>
        </w:trPr>
        <w:tc>
          <w:tcPr>
            <w:tcW w:type="pct" w:w="20%"/>
            <w:tcBorders>
              <w:top w:val="none"/>
              <w:left w:val="none"/>
              <w:bottom w:val="single" w:color="DDD0C8" w:sz="1"/>
              <w:right w:val="none"/>
            </w:tcBorders>
            <w:shd w:fill="FFFFFF" w:val="clear"/>
            <w:tcMar>
              <w:top w:type="dxa" w:w="60"/>
              <w:left w:type="dxa" w:w="120"/>
              <w:bottom w:type="dxa" w:w="60"/>
              <w:right w:type="dxa" w:w="120"/>
            </w:tcMar>
          </w:tcPr>
          <w:p>
            <w:r>
              <w:rPr>
                <w:rFonts w:ascii="Calibri"/>
                <w:color w:val="000000"/>
                <w:sz w:val="21"/>
                <w:szCs w:val="21"/>
              </w:rPr>
              <w:t xml:space="preserve">Conversion</w:t>
            </w:r>
          </w:p>
        </w:tc>
        <w:tc>
          <w:tcPr>
            <w:tcW w:type="pct" w:w="20%"/>
            <w:tcBorders>
              <w:top w:val="none"/>
              <w:left w:val="none"/>
              <w:bottom w:val="single" w:color="DDD0C8" w:sz="1"/>
              <w:right w:val="none"/>
            </w:tcBorders>
            <w:shd w:fill="FFFFFF" w:val="clear"/>
            <w:tcMar>
              <w:top w:type="dxa" w:w="60"/>
              <w:left w:type="dxa" w:w="120"/>
              <w:bottom w:type="dxa" w:w="60"/>
              <w:right w:type="dxa" w:w="120"/>
            </w:tcMar>
          </w:tcPr>
          <w:p>
            <w:r>
              <w:rPr>
                <w:rFonts w:ascii="Calibri"/>
                <w:color w:val="000000"/>
                <w:sz w:val="21"/>
                <w:szCs w:val="21"/>
              </w:rPr>
              <w:t xml:space="preserve">Visitor-to-registrant rate</w:t>
            </w:r>
          </w:p>
        </w:tc>
        <w:tc>
          <w:tcPr>
            <w:tcW w:type="pct" w:w="20%"/>
            <w:tcBorders>
              <w:top w:val="none"/>
              <w:left w:val="none"/>
              <w:bottom w:val="single" w:color="DDD0C8" w:sz="1"/>
              <w:right w:val="none"/>
            </w:tcBorders>
            <w:shd w:fill="FFFFFF" w:val="clear"/>
            <w:tcMar>
              <w:top w:type="dxa" w:w="60"/>
              <w:left w:type="dxa" w:w="120"/>
              <w:bottom w:type="dxa" w:w="60"/>
              <w:right w:type="dxa" w:w="120"/>
            </w:tcMar>
          </w:tcPr>
          <w:p>
            <w:r>
              <w:rPr>
                <w:rFonts w:ascii="Calibri"/>
                <w:color w:val="000000"/>
                <w:sz w:val="21"/>
                <w:szCs w:val="21"/>
              </w:rPr>
              <w:t xml:space="preserve">~8%</w:t>
            </w:r>
          </w:p>
        </w:tc>
        <w:tc>
          <w:tcPr>
            <w:tcW w:type="pct" w:w="20%"/>
            <w:tcBorders>
              <w:top w:val="none"/>
              <w:left w:val="none"/>
              <w:bottom w:val="single" w:color="DDD0C8" w:sz="1"/>
              <w:right w:val="none"/>
            </w:tcBorders>
            <w:shd w:fill="FFFFFF" w:val="clear"/>
            <w:tcMar>
              <w:top w:type="dxa" w:w="60"/>
              <w:left w:type="dxa" w:w="120"/>
              <w:bottom w:type="dxa" w:w="60"/>
              <w:right w:type="dxa" w:w="120"/>
            </w:tcMar>
          </w:tcPr>
          <w:p>
            <w:r>
              <w:rPr>
                <w:rFonts w:ascii="Calibri"/>
                <w:color w:val="000000"/>
                <w:sz w:val="21"/>
                <w:szCs w:val="21"/>
              </w:rPr>
              <w:t xml:space="preserve">15%</w:t>
            </w:r>
          </w:p>
        </w:tc>
        <w:tc>
          <w:tcPr>
            <w:tcW w:type="pct" w:w="20%"/>
            <w:tcBorders>
              <w:top w:val="none"/>
              <w:left w:val="none"/>
              <w:bottom w:val="single" w:color="DDD0C8" w:sz="1"/>
              <w:right w:val="none"/>
            </w:tcBorders>
            <w:shd w:fill="FFFFFF" w:val="clear"/>
            <w:tcMar>
              <w:top w:type="dxa" w:w="60"/>
              <w:left w:type="dxa" w:w="120"/>
              <w:bottom w:type="dxa" w:w="60"/>
              <w:right w:type="dxa" w:w="120"/>
            </w:tcMar>
          </w:tcPr>
          <w:p>
            <w:r>
              <w:rPr>
                <w:rFonts w:ascii="Calibri"/>
                <w:color w:val="000000"/>
                <w:sz w:val="21"/>
                <w:szCs w:val="21"/>
              </w:rPr>
              <w:t xml:space="preserve">22%</w:t>
            </w:r>
          </w:p>
        </w:tc>
      </w:tr>
      <w:tr>
        <w:trPr>
          <w:cantSplit/>
        </w:trPr>
        <w:tc>
          <w:tcPr>
            <w:tcW w:type="pct" w:w="20%"/>
            <w:tcBorders>
              <w:top w:val="none"/>
              <w:left w:val="none"/>
              <w:bottom w:val="single" w:color="DDD0C8" w:sz="1"/>
              <w:right w:val="none"/>
            </w:tcBorders>
            <w:shd w:fill="F8F0EB" w:val="clear"/>
            <w:tcMar>
              <w:top w:type="dxa" w:w="60"/>
              <w:left w:type="dxa" w:w="120"/>
              <w:bottom w:type="dxa" w:w="60"/>
              <w:right w:type="dxa" w:w="120"/>
            </w:tcMar>
          </w:tcPr>
          <w:p>
            <w:r>
              <w:rPr>
                <w:rFonts w:ascii="Calibri"/>
                <w:color w:val="000000"/>
                <w:sz w:val="21"/>
                <w:szCs w:val="21"/>
              </w:rPr>
              <w:t xml:space="preserve">Conversion</w:t>
            </w:r>
          </w:p>
        </w:tc>
        <w:tc>
          <w:tcPr>
            <w:tcW w:type="pct" w:w="20%"/>
            <w:tcBorders>
              <w:top w:val="none"/>
              <w:left w:val="none"/>
              <w:bottom w:val="single" w:color="DDD0C8" w:sz="1"/>
              <w:right w:val="none"/>
            </w:tcBorders>
            <w:shd w:fill="F8F0EB" w:val="clear"/>
            <w:tcMar>
              <w:top w:type="dxa" w:w="60"/>
              <w:left w:type="dxa" w:w="120"/>
              <w:bottom w:type="dxa" w:w="60"/>
              <w:right w:type="dxa" w:w="120"/>
            </w:tcMar>
          </w:tcPr>
          <w:p>
            <w:r>
              <w:rPr>
                <w:rFonts w:ascii="Calibri"/>
                <w:color w:val="000000"/>
                <w:sz w:val="21"/>
                <w:szCs w:val="21"/>
              </w:rPr>
              <w:t xml:space="preserve">Free-to-paid rate</w:t>
            </w:r>
          </w:p>
        </w:tc>
        <w:tc>
          <w:tcPr>
            <w:tcW w:type="pct" w:w="20%"/>
            <w:tcBorders>
              <w:top w:val="none"/>
              <w:left w:val="none"/>
              <w:bottom w:val="single" w:color="DDD0C8" w:sz="1"/>
              <w:right w:val="none"/>
            </w:tcBorders>
            <w:shd w:fill="F8F0EB" w:val="clear"/>
            <w:tcMar>
              <w:top w:type="dxa" w:w="60"/>
              <w:left w:type="dxa" w:w="120"/>
              <w:bottom w:type="dxa" w:w="60"/>
              <w:right w:type="dxa" w:w="120"/>
            </w:tcMar>
          </w:tcPr>
          <w:p>
            <w:r>
              <w:rPr>
                <w:rFonts w:ascii="Calibri"/>
                <w:color w:val="000000"/>
                <w:sz w:val="21"/>
                <w:szCs w:val="21"/>
              </w:rPr>
              <w:t xml:space="preserve">~2%</w:t>
            </w:r>
          </w:p>
        </w:tc>
        <w:tc>
          <w:tcPr>
            <w:tcW w:type="pct" w:w="20%"/>
            <w:tcBorders>
              <w:top w:val="none"/>
              <w:left w:val="none"/>
              <w:bottom w:val="single" w:color="DDD0C8" w:sz="1"/>
              <w:right w:val="none"/>
            </w:tcBorders>
            <w:shd w:fill="F8F0EB" w:val="clear"/>
            <w:tcMar>
              <w:top w:type="dxa" w:w="60"/>
              <w:left w:type="dxa" w:w="120"/>
              <w:bottom w:type="dxa" w:w="60"/>
              <w:right w:type="dxa" w:w="120"/>
            </w:tcMar>
          </w:tcPr>
          <w:p>
            <w:r>
              <w:rPr>
                <w:rFonts w:ascii="Calibri"/>
                <w:color w:val="000000"/>
                <w:sz w:val="21"/>
                <w:szCs w:val="21"/>
              </w:rPr>
              <w:t xml:space="preserve">5%</w:t>
            </w:r>
          </w:p>
        </w:tc>
        <w:tc>
          <w:tcPr>
            <w:tcW w:type="pct" w:w="20%"/>
            <w:tcBorders>
              <w:top w:val="none"/>
              <w:left w:val="none"/>
              <w:bottom w:val="single" w:color="DDD0C8" w:sz="1"/>
              <w:right w:val="none"/>
            </w:tcBorders>
            <w:shd w:fill="F8F0EB" w:val="clear"/>
            <w:tcMar>
              <w:top w:type="dxa" w:w="60"/>
              <w:left w:type="dxa" w:w="120"/>
              <w:bottom w:type="dxa" w:w="60"/>
              <w:right w:type="dxa" w:w="120"/>
            </w:tcMar>
          </w:tcPr>
          <w:p>
            <w:r>
              <w:rPr>
                <w:rFonts w:ascii="Calibri"/>
                <w:color w:val="000000"/>
                <w:sz w:val="21"/>
                <w:szCs w:val="21"/>
              </w:rPr>
              <w:t xml:space="preserve">8%</w:t>
            </w:r>
          </w:p>
        </w:tc>
      </w:tr>
      <w:tr>
        <w:trPr>
          <w:cantSplit/>
        </w:trPr>
        <w:tc>
          <w:tcPr>
            <w:tcW w:type="pct" w:w="20%"/>
            <w:tcBorders>
              <w:top w:val="none"/>
              <w:left w:val="none"/>
              <w:bottom w:val="single" w:color="DDD0C8" w:sz="1"/>
              <w:right w:val="none"/>
            </w:tcBorders>
            <w:shd w:fill="FFFFFF" w:val="clear"/>
            <w:tcMar>
              <w:top w:type="dxa" w:w="60"/>
              <w:left w:type="dxa" w:w="120"/>
              <w:bottom w:type="dxa" w:w="60"/>
              <w:right w:type="dxa" w:w="120"/>
            </w:tcMar>
          </w:tcPr>
          <w:p>
            <w:r>
              <w:rPr>
                <w:rFonts w:ascii="Calibri"/>
                <w:color w:val="000000"/>
                <w:sz w:val="21"/>
                <w:szCs w:val="21"/>
              </w:rPr>
              <w:t xml:space="preserve">Revenue</w:t>
            </w:r>
          </w:p>
        </w:tc>
        <w:tc>
          <w:tcPr>
            <w:tcW w:type="pct" w:w="20%"/>
            <w:tcBorders>
              <w:top w:val="none"/>
              <w:left w:val="none"/>
              <w:bottom w:val="single" w:color="DDD0C8" w:sz="1"/>
              <w:right w:val="none"/>
            </w:tcBorders>
            <w:shd w:fill="FFFFFF" w:val="clear"/>
            <w:tcMar>
              <w:top w:type="dxa" w:w="60"/>
              <w:left w:type="dxa" w:w="120"/>
              <w:bottom w:type="dxa" w:w="60"/>
              <w:right w:type="dxa" w:w="120"/>
            </w:tcMar>
          </w:tcPr>
          <w:p>
            <w:r>
              <w:rPr>
                <w:rFonts w:ascii="Calibri"/>
                <w:color w:val="000000"/>
                <w:sz w:val="21"/>
                <w:szCs w:val="21"/>
              </w:rPr>
              <w:t xml:space="preserve">Monthly Recurring Revenue</w:t>
            </w:r>
          </w:p>
        </w:tc>
        <w:tc>
          <w:tcPr>
            <w:tcW w:type="pct" w:w="20%"/>
            <w:tcBorders>
              <w:top w:val="none"/>
              <w:left w:val="none"/>
              <w:bottom w:val="single" w:color="DDD0C8" w:sz="1"/>
              <w:right w:val="none"/>
            </w:tcBorders>
            <w:shd w:fill="FFFFFF" w:val="clear"/>
            <w:tcMar>
              <w:top w:type="dxa" w:w="60"/>
              <w:left w:type="dxa" w:w="120"/>
              <w:bottom w:type="dxa" w:w="60"/>
              <w:right w:type="dxa" w:w="120"/>
            </w:tcMar>
          </w:tcPr>
          <w:p>
            <w:r>
              <w:rPr>
                <w:rFonts w:ascii="Calibri"/>
                <w:color w:val="000000"/>
                <w:sz w:val="21"/>
                <w:szCs w:val="21"/>
              </w:rPr>
              <w:t xml:space="preserve">TBD</w:t>
            </w:r>
          </w:p>
        </w:tc>
        <w:tc>
          <w:tcPr>
            <w:tcW w:type="pct" w:w="20%"/>
            <w:tcBorders>
              <w:top w:val="none"/>
              <w:left w:val="none"/>
              <w:bottom w:val="single" w:color="DDD0C8" w:sz="1"/>
              <w:right w:val="none"/>
            </w:tcBorders>
            <w:shd w:fill="FFFFFF" w:val="clear"/>
            <w:tcMar>
              <w:top w:type="dxa" w:w="60"/>
              <w:left w:type="dxa" w:w="120"/>
              <w:bottom w:type="dxa" w:w="60"/>
              <w:right w:type="dxa" w:w="120"/>
            </w:tcMar>
          </w:tcPr>
          <w:p>
            <w:r>
              <w:rPr>
                <w:rFonts w:ascii="Calibri"/>
                <w:color w:val="000000"/>
                <w:sz w:val="21"/>
                <w:szCs w:val="21"/>
              </w:rPr>
              <w:t xml:space="preserve">$5,000</w:t>
            </w:r>
          </w:p>
        </w:tc>
        <w:tc>
          <w:tcPr>
            <w:tcW w:type="pct" w:w="20%"/>
            <w:tcBorders>
              <w:top w:val="none"/>
              <w:left w:val="none"/>
              <w:bottom w:val="single" w:color="DDD0C8" w:sz="1"/>
              <w:right w:val="none"/>
            </w:tcBorders>
            <w:shd w:fill="FFFFFF" w:val="clear"/>
            <w:tcMar>
              <w:top w:type="dxa" w:w="60"/>
              <w:left w:type="dxa" w:w="120"/>
              <w:bottom w:type="dxa" w:w="60"/>
              <w:right w:type="dxa" w:w="120"/>
            </w:tcMar>
          </w:tcPr>
          <w:p>
            <w:r>
              <w:rPr>
                <w:rFonts w:ascii="Calibri"/>
                <w:color w:val="000000"/>
                <w:sz w:val="21"/>
                <w:szCs w:val="21"/>
              </w:rPr>
              <w:t xml:space="preserve">$15,000</w:t>
            </w:r>
          </w:p>
        </w:tc>
      </w:tr>
      <w:tr>
        <w:trPr>
          <w:cantSplit/>
        </w:trPr>
        <w:tc>
          <w:tcPr>
            <w:tcW w:type="pct" w:w="20%"/>
            <w:tcBorders>
              <w:top w:val="none"/>
              <w:left w:val="none"/>
              <w:bottom w:val="single" w:color="DDD0C8" w:sz="1"/>
              <w:right w:val="none"/>
            </w:tcBorders>
            <w:shd w:fill="F8F0EB" w:val="clear"/>
            <w:tcMar>
              <w:top w:type="dxa" w:w="60"/>
              <w:left w:type="dxa" w:w="120"/>
              <w:bottom w:type="dxa" w:w="60"/>
              <w:right w:type="dxa" w:w="120"/>
            </w:tcMar>
          </w:tcPr>
          <w:p>
            <w:r>
              <w:rPr>
                <w:rFonts w:ascii="Calibri"/>
                <w:color w:val="000000"/>
                <w:sz w:val="21"/>
                <w:szCs w:val="21"/>
              </w:rPr>
              <w:t xml:space="preserve">Revenue</w:t>
            </w:r>
          </w:p>
        </w:tc>
        <w:tc>
          <w:tcPr>
            <w:tcW w:type="pct" w:w="20%"/>
            <w:tcBorders>
              <w:top w:val="none"/>
              <w:left w:val="none"/>
              <w:bottom w:val="single" w:color="DDD0C8" w:sz="1"/>
              <w:right w:val="none"/>
            </w:tcBorders>
            <w:shd w:fill="F8F0EB" w:val="clear"/>
            <w:tcMar>
              <w:top w:type="dxa" w:w="60"/>
              <w:left w:type="dxa" w:w="120"/>
              <w:bottom w:type="dxa" w:w="60"/>
              <w:right w:type="dxa" w:w="120"/>
            </w:tcMar>
          </w:tcPr>
          <w:p>
            <w:r>
              <w:rPr>
                <w:rFonts w:ascii="Calibri"/>
                <w:color w:val="000000"/>
                <w:sz w:val="21"/>
                <w:szCs w:val="21"/>
              </w:rPr>
              <w:t xml:space="preserve">Customer Lifetime Value</w:t>
            </w:r>
          </w:p>
        </w:tc>
        <w:tc>
          <w:tcPr>
            <w:tcW w:type="pct" w:w="20%"/>
            <w:tcBorders>
              <w:top w:val="none"/>
              <w:left w:val="none"/>
              <w:bottom w:val="single" w:color="DDD0C8" w:sz="1"/>
              <w:right w:val="none"/>
            </w:tcBorders>
            <w:shd w:fill="F8F0EB" w:val="clear"/>
            <w:tcMar>
              <w:top w:type="dxa" w:w="60"/>
              <w:left w:type="dxa" w:w="120"/>
              <w:bottom w:type="dxa" w:w="60"/>
              <w:right w:type="dxa" w:w="120"/>
            </w:tcMar>
          </w:tcPr>
          <w:p>
            <w:r>
              <w:rPr>
                <w:rFonts w:ascii="Calibri"/>
                <w:color w:val="000000"/>
                <w:sz w:val="21"/>
                <w:szCs w:val="21"/>
              </w:rPr>
              <w:t xml:space="preserve">TBD</w:t>
            </w:r>
          </w:p>
        </w:tc>
        <w:tc>
          <w:tcPr>
            <w:tcW w:type="pct" w:w="20%"/>
            <w:tcBorders>
              <w:top w:val="none"/>
              <w:left w:val="none"/>
              <w:bottom w:val="single" w:color="DDD0C8" w:sz="1"/>
              <w:right w:val="none"/>
            </w:tcBorders>
            <w:shd w:fill="F8F0EB" w:val="clear"/>
            <w:tcMar>
              <w:top w:type="dxa" w:w="60"/>
              <w:left w:type="dxa" w:w="120"/>
              <w:bottom w:type="dxa" w:w="60"/>
              <w:right w:type="dxa" w:w="120"/>
            </w:tcMar>
          </w:tcPr>
          <w:p>
            <w:r>
              <w:rPr>
                <w:rFonts w:ascii="Calibri"/>
                <w:color w:val="000000"/>
                <w:sz w:val="21"/>
                <w:szCs w:val="21"/>
              </w:rPr>
              <w:t xml:space="preserve">$250</w:t>
            </w:r>
          </w:p>
        </w:tc>
        <w:tc>
          <w:tcPr>
            <w:tcW w:type="pct" w:w="20%"/>
            <w:tcBorders>
              <w:top w:val="none"/>
              <w:left w:val="none"/>
              <w:bottom w:val="single" w:color="DDD0C8" w:sz="1"/>
              <w:right w:val="none"/>
            </w:tcBorders>
            <w:shd w:fill="F8F0EB" w:val="clear"/>
            <w:tcMar>
              <w:top w:type="dxa" w:w="60"/>
              <w:left w:type="dxa" w:w="120"/>
              <w:bottom w:type="dxa" w:w="60"/>
              <w:right w:type="dxa" w:w="120"/>
            </w:tcMar>
          </w:tcPr>
          <w:p>
            <w:r>
              <w:rPr>
                <w:rFonts w:ascii="Calibri"/>
                <w:color w:val="000000"/>
                <w:sz w:val="21"/>
                <w:szCs w:val="21"/>
              </w:rPr>
              <w:t xml:space="preserve">$500</w:t>
            </w:r>
          </w:p>
        </w:tc>
      </w:tr>
      <w:tr>
        <w:trPr>
          <w:cantSplit/>
        </w:trPr>
        <w:tc>
          <w:tcPr>
            <w:tcW w:type="pct" w:w="20%"/>
            <w:tcBorders>
              <w:top w:val="none"/>
              <w:left w:val="none"/>
              <w:bottom w:val="single" w:color="DDD0C8" w:sz="1"/>
              <w:right w:val="none"/>
            </w:tcBorders>
            <w:shd w:fill="FFFFFF" w:val="clear"/>
            <w:tcMar>
              <w:top w:type="dxa" w:w="60"/>
              <w:left w:type="dxa" w:w="120"/>
              <w:bottom w:type="dxa" w:w="60"/>
              <w:right w:type="dxa" w:w="120"/>
            </w:tcMar>
          </w:tcPr>
          <w:p>
            <w:r>
              <w:rPr>
                <w:rFonts w:ascii="Calibri"/>
                <w:color w:val="000000"/>
                <w:sz w:val="21"/>
                <w:szCs w:val="21"/>
              </w:rPr>
              <w:t xml:space="preserve">Efficiency</w:t>
            </w:r>
          </w:p>
        </w:tc>
        <w:tc>
          <w:tcPr>
            <w:tcW w:type="pct" w:w="20%"/>
            <w:tcBorders>
              <w:top w:val="none"/>
              <w:left w:val="none"/>
              <w:bottom w:val="single" w:color="DDD0C8" w:sz="1"/>
              <w:right w:val="none"/>
            </w:tcBorders>
            <w:shd w:fill="FFFFFF" w:val="clear"/>
            <w:tcMar>
              <w:top w:type="dxa" w:w="60"/>
              <w:left w:type="dxa" w:w="120"/>
              <w:bottom w:type="dxa" w:w="60"/>
              <w:right w:type="dxa" w:w="120"/>
            </w:tcMar>
          </w:tcPr>
          <w:p>
            <w:r>
              <w:rPr>
                <w:rFonts w:ascii="Calibri"/>
                <w:color w:val="000000"/>
                <w:sz w:val="21"/>
                <w:szCs w:val="21"/>
              </w:rPr>
              <w:t xml:space="preserve">Blended CPA</w:t>
            </w:r>
          </w:p>
        </w:tc>
        <w:tc>
          <w:tcPr>
            <w:tcW w:type="pct" w:w="20%"/>
            <w:tcBorders>
              <w:top w:val="none"/>
              <w:left w:val="none"/>
              <w:bottom w:val="single" w:color="DDD0C8" w:sz="1"/>
              <w:right w:val="none"/>
            </w:tcBorders>
            <w:shd w:fill="FFFFFF" w:val="clear"/>
            <w:tcMar>
              <w:top w:type="dxa" w:w="60"/>
              <w:left w:type="dxa" w:w="120"/>
              <w:bottom w:type="dxa" w:w="60"/>
              <w:right w:type="dxa" w:w="120"/>
            </w:tcMar>
          </w:tcPr>
          <w:p>
            <w:r>
              <w:rPr>
                <w:rFonts w:ascii="Calibri"/>
                <w:color w:val="000000"/>
                <w:sz w:val="21"/>
                <w:szCs w:val="21"/>
              </w:rPr>
              <w:t xml:space="preserve">TBD</w:t>
            </w:r>
          </w:p>
        </w:tc>
        <w:tc>
          <w:tcPr>
            <w:tcW w:type="pct" w:w="20%"/>
            <w:tcBorders>
              <w:top w:val="none"/>
              <w:left w:val="none"/>
              <w:bottom w:val="single" w:color="DDD0C8" w:sz="1"/>
              <w:right w:val="none"/>
            </w:tcBorders>
            <w:shd w:fill="FFFFFF" w:val="clear"/>
            <w:tcMar>
              <w:top w:type="dxa" w:w="60"/>
              <w:left w:type="dxa" w:w="120"/>
              <w:bottom w:type="dxa" w:w="60"/>
              <w:right w:type="dxa" w:w="120"/>
            </w:tcMar>
          </w:tcPr>
          <w:p>
            <w:r>
              <w:rPr>
                <w:rFonts w:ascii="Calibri"/>
                <w:color w:val="000000"/>
                <w:sz w:val="21"/>
                <w:szCs w:val="21"/>
              </w:rPr>
              <w:t xml:space="preserve">&lt; $80</w:t>
            </w:r>
          </w:p>
        </w:tc>
        <w:tc>
          <w:tcPr>
            <w:tcW w:type="pct" w:w="20%"/>
            <w:tcBorders>
              <w:top w:val="none"/>
              <w:left w:val="none"/>
              <w:bottom w:val="single" w:color="DDD0C8" w:sz="1"/>
              <w:right w:val="none"/>
            </w:tcBorders>
            <w:shd w:fill="FFFFFF" w:val="clear"/>
            <w:tcMar>
              <w:top w:type="dxa" w:w="60"/>
              <w:left w:type="dxa" w:w="120"/>
              <w:bottom w:type="dxa" w:w="60"/>
              <w:right w:type="dxa" w:w="120"/>
            </w:tcMar>
          </w:tcPr>
          <w:p>
            <w:r>
              <w:rPr>
                <w:rFonts w:ascii="Calibri"/>
                <w:color w:val="000000"/>
                <w:sz w:val="21"/>
                <w:szCs w:val="21"/>
              </w:rPr>
              <w:t xml:space="preserve">&lt; $50</w:t>
            </w:r>
          </w:p>
        </w:tc>
      </w:tr>
      <w:tr>
        <w:trPr>
          <w:cantSplit/>
        </w:trPr>
        <w:tc>
          <w:tcPr>
            <w:tcW w:type="pct" w:w="20%"/>
            <w:tcBorders>
              <w:top w:val="none"/>
              <w:left w:val="none"/>
              <w:bottom w:val="single" w:color="DDD0C8" w:sz="1"/>
              <w:right w:val="none"/>
            </w:tcBorders>
            <w:shd w:fill="F8F0EB" w:val="clear"/>
            <w:tcMar>
              <w:top w:type="dxa" w:w="60"/>
              <w:left w:type="dxa" w:w="120"/>
              <w:bottom w:type="dxa" w:w="60"/>
              <w:right w:type="dxa" w:w="120"/>
            </w:tcMar>
          </w:tcPr>
          <w:p>
            <w:r>
              <w:rPr>
                <w:rFonts w:ascii="Calibri"/>
                <w:color w:val="000000"/>
                <w:sz w:val="21"/>
                <w:szCs w:val="21"/>
              </w:rPr>
              <w:t xml:space="preserve">Efficiency</w:t>
            </w:r>
          </w:p>
        </w:tc>
        <w:tc>
          <w:tcPr>
            <w:tcW w:type="pct" w:w="20%"/>
            <w:tcBorders>
              <w:top w:val="none"/>
              <w:left w:val="none"/>
              <w:bottom w:val="single" w:color="DDD0C8" w:sz="1"/>
              <w:right w:val="none"/>
            </w:tcBorders>
            <w:shd w:fill="F8F0EB" w:val="clear"/>
            <w:tcMar>
              <w:top w:type="dxa" w:w="60"/>
              <w:left w:type="dxa" w:w="120"/>
              <w:bottom w:type="dxa" w:w="60"/>
              <w:right w:type="dxa" w:w="120"/>
            </w:tcMar>
          </w:tcPr>
          <w:p>
            <w:r>
              <w:rPr>
                <w:rFonts w:ascii="Calibri"/>
                <w:color w:val="000000"/>
                <w:sz w:val="21"/>
                <w:szCs w:val="21"/>
              </w:rPr>
              <w:t xml:space="preserve">Marketing spend ROI</w:t>
            </w:r>
          </w:p>
        </w:tc>
        <w:tc>
          <w:tcPr>
            <w:tcW w:type="pct" w:w="20%"/>
            <w:tcBorders>
              <w:top w:val="none"/>
              <w:left w:val="none"/>
              <w:bottom w:val="single" w:color="DDD0C8" w:sz="1"/>
              <w:right w:val="none"/>
            </w:tcBorders>
            <w:shd w:fill="F8F0EB" w:val="clear"/>
            <w:tcMar>
              <w:top w:type="dxa" w:w="60"/>
              <w:left w:type="dxa" w:w="120"/>
              <w:bottom w:type="dxa" w:w="60"/>
              <w:right w:type="dxa" w:w="120"/>
            </w:tcMar>
          </w:tcPr>
          <w:p>
            <w:r>
              <w:rPr>
                <w:rFonts w:ascii="Calibri"/>
                <w:color w:val="000000"/>
                <w:sz w:val="21"/>
                <w:szCs w:val="21"/>
              </w:rPr>
              <w:t xml:space="preserve">TBD</w:t>
            </w:r>
          </w:p>
        </w:tc>
        <w:tc>
          <w:tcPr>
            <w:tcW w:type="pct" w:w="20%"/>
            <w:tcBorders>
              <w:top w:val="none"/>
              <w:left w:val="none"/>
              <w:bottom w:val="single" w:color="DDD0C8" w:sz="1"/>
              <w:right w:val="none"/>
            </w:tcBorders>
            <w:shd w:fill="F8F0EB" w:val="clear"/>
            <w:tcMar>
              <w:top w:type="dxa" w:w="60"/>
              <w:left w:type="dxa" w:w="120"/>
              <w:bottom w:type="dxa" w:w="60"/>
              <w:right w:type="dxa" w:w="120"/>
            </w:tcMar>
          </w:tcPr>
          <w:p>
            <w:r>
              <w:rPr>
                <w:rFonts w:ascii="Calibri"/>
                <w:color w:val="000000"/>
                <w:sz w:val="21"/>
                <w:szCs w:val="21"/>
              </w:rPr>
              <w:t xml:space="preserve">&gt; 3x</w:t>
            </w:r>
          </w:p>
        </w:tc>
        <w:tc>
          <w:tcPr>
            <w:tcW w:type="pct" w:w="20%"/>
            <w:tcBorders>
              <w:top w:val="none"/>
              <w:left w:val="none"/>
              <w:bottom w:val="single" w:color="DDD0C8" w:sz="1"/>
              <w:right w:val="none"/>
            </w:tcBorders>
            <w:shd w:fill="F8F0EB" w:val="clear"/>
            <w:tcMar>
              <w:top w:type="dxa" w:w="60"/>
              <w:left w:type="dxa" w:w="120"/>
              <w:bottom w:type="dxa" w:w="60"/>
              <w:right w:type="dxa" w:w="120"/>
            </w:tcMar>
          </w:tcPr>
          <w:p>
            <w:r>
              <w:rPr>
                <w:rFonts w:ascii="Calibri"/>
                <w:color w:val="000000"/>
                <w:sz w:val="21"/>
                <w:szCs w:val="21"/>
              </w:rPr>
              <w:t xml:space="preserve">&gt; 5x</w:t>
            </w:r>
          </w:p>
        </w:tc>
      </w:tr>
    </w:tbl>
    <w:p>
      <w:pPr>
        <w:spacing w:after="60" w:before="60"/>
      </w:pPr>
    </w:p>
    <w:p>
      <w:pPr>
        <w:pStyle w:val="Heading2"/>
        <w:spacing w:after="120" w:before="280" w:line="312"/>
      </w:pPr>
      <w:bookmarkStart w:id="100040" w:name="_Toc100040"/>
      <w:r>
        <w:rPr>
          <w:rFonts w:ascii="Times New Roman"/>
          <w:b/>
          <w:bCs/>
          <w:color w:val="0B1220"/>
          <w:sz w:val="28"/>
          <w:szCs w:val="28"/>
        </w:rPr>
        <w:t xml:space="preserve">7.2 Reporting Cadence &amp; Optimization Cycle</w:t>
      </w:r>
      <w:bookmarkEnd w:id="100040"/>
    </w:p>
    <w:p>
      <w:pPr>
        <w:spacing w:after="120" w:line="312"/>
        <w:ind w:firstLine="480"/>
        <w:jc w:val="both"/>
      </w:pPr>
      <w:r>
        <w:rPr>
          <w:rFonts w:ascii="Times New Roman"/>
          <w:color w:val="000000"/>
          <w:sz w:val="24"/>
          <w:szCs w:val="24"/>
        </w:rPr>
        <w:t xml:space="preserve">Performance monitoring follows a structured cadence of daily, weekly, monthly, and quarterly reviews. Daily monitoring focuses on real-time dashboards tracking ad spend, traffic volume, registration volume, and any anomalous changes that require immediate attention. Weekly reviews analyze campaign performance trends, A/B test results, and content performance, with optimization actions implemented within the same week. Monthly reports provide a comprehensive view of all channel performance against targets, with recommendations for budget reallocation and strategy adjustments. Quarterly strategic reviews assess overall progress against the roadmap, evaluate the effectiveness of each acquisition pillar, and make strategic decisions about scaling successful channels, sunsetting underperforming ones, and testing new opportunities.</w:t>
      </w:r>
    </w:p>
    <w:p>
      <w:pPr>
        <w:spacing w:after="120" w:line="312"/>
        <w:ind w:firstLine="480"/>
        <w:jc w:val="both"/>
      </w:pPr>
      <w:r>
        <w:rPr>
          <w:rFonts w:ascii="Times New Roman"/>
          <w:color w:val="000000"/>
          <w:sz w:val="24"/>
          <w:szCs w:val="24"/>
        </w:rPr>
        <w:t xml:space="preserve">The continuous improvement process follows a Plan-Do-Check-Act (PDCA) cycle. Each optimization hypothesis is planned with clear expected outcomes, executed with controlled tests, checked against actual performance data, and then acted upon by either scaling the winning variation or developing a new hypothesis based on learnings. This disciplined approach ensures that marketing spend is continuously optimized and that the team avoids both analysis paralysis and premature scaling of unproven tactics.</w:t>
      </w:r>
    </w:p>
    <w:p>
      <w:pPr>
        <w:pStyle w:val="Heading1"/>
        <w:spacing w:after="160" w:before="360" w:line="312"/>
      </w:pPr>
      <w:bookmarkStart w:id="100041" w:name="_Toc100041"/>
      <w:r>
        <w:rPr>
          <w:rFonts w:ascii="Times New Roman"/>
          <w:b/>
          <w:bCs/>
          <w:color w:val="0B1220"/>
          <w:sz w:val="32"/>
          <w:szCs w:val="32"/>
        </w:rPr>
        <w:t xml:space="preserve">8. Implementation Roadmap</w:t>
      </w:r>
      <w:bookmarkEnd w:id="100041"/>
    </w:p>
    <w:p>
      <w:pPr>
        <w:pStyle w:val="Heading2"/>
        <w:spacing w:after="120" w:before="280" w:line="312"/>
      </w:pPr>
      <w:bookmarkStart w:id="100042" w:name="_Toc100042"/>
      <w:r>
        <w:rPr>
          <w:rFonts w:ascii="Times New Roman"/>
          <w:b/>
          <w:bCs/>
          <w:color w:val="0B1220"/>
          <w:sz w:val="28"/>
          <w:szCs w:val="28"/>
        </w:rPr>
        <w:t xml:space="preserve">8.1 Phase 1: Foundation (Months 1-3)</w:t>
      </w:r>
      <w:bookmarkEnd w:id="100042"/>
    </w:p>
    <w:p>
      <w:pPr>
        <w:spacing w:after="120" w:line="312"/>
        <w:ind w:firstLine="480"/>
        <w:jc w:val="both"/>
      </w:pPr>
      <w:r>
        <w:rPr>
          <w:rFonts w:ascii="Times New Roman"/>
          <w:b/>
          <w:bCs/>
          <w:color w:val="000000"/>
          <w:sz w:val="24"/>
          <w:szCs w:val="24"/>
        </w:rPr>
        <w:t xml:space="preserve">Analytics &amp; Tracking: </w:t>
      </w:r>
      <w:r>
        <w:rPr>
          <w:rFonts w:ascii="Times New Roman"/>
          <w:color w:val="000000"/>
          <w:sz w:val="24"/>
          <w:szCs w:val="24"/>
        </w:rPr>
        <w:t xml:space="preserve">Implement comprehensive analytics using Google Analytics 4 with custom events for all key actions (registration, feature usage, upgrade, benchmark comparison). Set up conversion tracking for all advertising platforms. Configure UTM parameter tracking and attribution modeling. Deploy heatmapping tools (Hotjar or Microsoft Clarity) for behavioral analysis. Establish automated reporting dashboards in Looker Studio or a similar BI tool.</w:t>
      </w:r>
    </w:p>
    <w:p>
      <w:pPr>
        <w:spacing w:after="120" w:line="312"/>
        <w:ind w:firstLine="480"/>
        <w:jc w:val="both"/>
      </w:pPr>
      <w:r>
        <w:rPr>
          <w:rFonts w:ascii="Times New Roman"/>
          <w:b/>
          <w:bCs/>
          <w:color w:val="000000"/>
          <w:sz w:val="24"/>
          <w:szCs w:val="24"/>
        </w:rPr>
        <w:t xml:space="preserve">SEO Technical Audit: </w:t>
      </w:r>
      <w:r>
        <w:rPr>
          <w:rFonts w:ascii="Times New Roman"/>
          <w:color w:val="000000"/>
          <w:sz w:val="24"/>
          <w:szCs w:val="24"/>
        </w:rPr>
        <w:t xml:space="preserve">Run a complete technical SEO audit using Screaming Frog and Google Search Console. Fix any crawl errors, broken links, or duplicate content issues. Optimize Core Web Vitals scores. Submit the enhanced sitemap to Google Search Console and Bing Webmaster Tools. Set up Google Business Profile if applicable. Begin building backlinks through digital PR outreach.</w:t>
      </w:r>
    </w:p>
    <w:p>
      <w:pPr>
        <w:spacing w:after="120" w:line="312"/>
        <w:ind w:firstLine="480"/>
        <w:jc w:val="both"/>
      </w:pPr>
      <w:r>
        <w:rPr>
          <w:rFonts w:ascii="Times New Roman"/>
          <w:b/>
          <w:bCs/>
          <w:color w:val="000000"/>
          <w:sz w:val="24"/>
          <w:szCs w:val="24"/>
        </w:rPr>
        <w:t xml:space="preserve">Content Infrastructure: </w:t>
      </w:r>
      <w:r>
        <w:rPr>
          <w:rFonts w:ascii="Times New Roman"/>
          <w:color w:val="000000"/>
          <w:sz w:val="24"/>
          <w:szCs w:val="24"/>
        </w:rPr>
        <w:t xml:space="preserve">Develop the content strategy document with keyword research, content calendar, and editorial guidelines. Set up the blog infrastructure with SEO-optimized templates. Create the first batch of 8-10 pillar articles targeting high-priority keywords. Establish content distribution workflows for repurposing across channels.</w:t>
      </w:r>
    </w:p>
    <w:p>
      <w:pPr>
        <w:spacing w:after="120" w:line="312"/>
        <w:ind w:firstLine="480"/>
        <w:jc w:val="both"/>
      </w:pPr>
      <w:r>
        <w:rPr>
          <w:rFonts w:ascii="Times New Roman"/>
          <w:b/>
          <w:bCs/>
          <w:color w:val="000000"/>
          <w:sz w:val="24"/>
          <w:szCs w:val="24"/>
        </w:rPr>
        <w:t xml:space="preserve">Email &amp; Automation Setup: </w:t>
      </w:r>
      <w:r>
        <w:rPr>
          <w:rFonts w:ascii="Times New Roman"/>
          <w:color w:val="000000"/>
          <w:sz w:val="24"/>
          <w:szCs w:val="24"/>
        </w:rPr>
        <w:t xml:space="preserve">Select and configure the marketing automation platform (HubSpot recommended for the feature set and integration ecosystem). Set up the email template library with on-brand designs. Configure the welcome email series (5 emails), the educational nurture sequence, and the upgrade trigger emails. Implement the lead scoring model with all defined signals and thresholds.</w:t>
      </w:r>
    </w:p>
    <w:p>
      <w:pPr>
        <w:pStyle w:val="Heading2"/>
        <w:spacing w:after="120" w:before="280" w:line="312"/>
      </w:pPr>
      <w:bookmarkStart w:id="100043" w:name="_Toc100043"/>
      <w:r>
        <w:rPr>
          <w:rFonts w:ascii="Times New Roman"/>
          <w:b/>
          <w:bCs/>
          <w:color w:val="0B1220"/>
          <w:sz w:val="28"/>
          <w:szCs w:val="28"/>
        </w:rPr>
        <w:t xml:space="preserve">8.2 Phase 2: Scaling (Months 4-6)</w:t>
      </w:r>
      <w:bookmarkEnd w:id="100043"/>
    </w:p>
    <w:p>
      <w:pPr>
        <w:spacing w:after="120" w:line="312"/>
        <w:ind w:firstLine="480"/>
        <w:jc w:val="both"/>
      </w:pPr>
      <w:r>
        <w:rPr>
          <w:rFonts w:ascii="Times New Roman"/>
          <w:b/>
          <w:bCs/>
          <w:color w:val="000000"/>
          <w:sz w:val="24"/>
          <w:szCs w:val="24"/>
        </w:rPr>
        <w:t xml:space="preserve">Paid Advertising Launch: </w:t>
      </w:r>
      <w:r>
        <w:rPr>
          <w:rFonts w:ascii="Times New Roman"/>
          <w:color w:val="000000"/>
          <w:sz w:val="24"/>
          <w:szCs w:val="24"/>
        </w:rPr>
        <w:t xml:space="preserve">Launch Google Ads campaigns with the tiered structure (brand search, category search, competitor conquest). Begin LinkedIn advertising targeting enterprise decision-makers. Start Reddit and Twitter/X advertising for community engagement. Implement retargeting campaigns for website visitors. Begin A/B testing ad creative and landing pages with weekly optimization cycles.</w:t>
      </w:r>
    </w:p>
    <w:p>
      <w:pPr>
        <w:spacing w:after="120" w:line="312"/>
        <w:ind w:firstLine="480"/>
        <w:jc w:val="both"/>
      </w:pPr>
      <w:r>
        <w:rPr>
          <w:rFonts w:ascii="Times New Roman"/>
          <w:b/>
          <w:bCs/>
          <w:color w:val="000000"/>
          <w:sz w:val="24"/>
          <w:szCs w:val="24"/>
        </w:rPr>
        <w:t xml:space="preserve">Content Production Scale-Up: </w:t>
      </w:r>
      <w:r>
        <w:rPr>
          <w:rFonts w:ascii="Times New Roman"/>
          <w:color w:val="000000"/>
          <w:sz w:val="24"/>
          <w:szCs w:val="24"/>
        </w:rPr>
        <w:t xml:space="preserve">Increase content production to the full calendar cadence (weekly tutorials, bi-weekly comparison guides, monthly case studies). Publish the first quarterly 'State of AI Models' benchmark report as gated content for lead generation. Launch the YouTube channel with tutorial videos. Begin the infographic series for social distribution.</w:t>
      </w:r>
    </w:p>
    <w:p>
      <w:pPr>
        <w:spacing w:after="120" w:line="312"/>
        <w:ind w:firstLine="480"/>
        <w:jc w:val="both"/>
      </w:pPr>
      <w:r>
        <w:rPr>
          <w:rFonts w:ascii="Times New Roman"/>
          <w:b/>
          <w:bCs/>
          <w:color w:val="000000"/>
          <w:sz w:val="24"/>
          <w:szCs w:val="24"/>
        </w:rPr>
        <w:t xml:space="preserve">ABM Program Launch: </w:t>
      </w:r>
      <w:r>
        <w:rPr>
          <w:rFonts w:ascii="Times New Roman"/>
          <w:color w:val="000000"/>
          <w:sz w:val="24"/>
          <w:szCs w:val="24"/>
        </w:rPr>
        <w:t xml:space="preserve">Identify and research the first 50 target accounts across three tiers. Build account profiles with key stakeholder information, technology stack data, and potential pain points. Develop personalized outreach sequences for Tier 1 accounts. Launch semi-personalized campaigns for Tier 2 accounts with industry-specific content.</w:t>
      </w:r>
    </w:p>
    <w:p>
      <w:pPr>
        <w:pStyle w:val="Heading2"/>
        <w:spacing w:after="120" w:before="280" w:line="312"/>
      </w:pPr>
      <w:bookmarkStart w:id="100044" w:name="_Toc100044"/>
      <w:r>
        <w:rPr>
          <w:rFonts w:ascii="Times New Roman"/>
          <w:b/>
          <w:bCs/>
          <w:color w:val="0B1220"/>
          <w:sz w:val="28"/>
          <w:szCs w:val="28"/>
        </w:rPr>
        <w:t xml:space="preserve">8.3 Phase 3: Optimization (Months 7-9)</w:t>
      </w:r>
      <w:bookmarkEnd w:id="100044"/>
    </w:p>
    <w:p>
      <w:pPr>
        <w:spacing w:after="120" w:line="312"/>
        <w:ind w:firstLine="480"/>
        <w:jc w:val="both"/>
      </w:pPr>
      <w:r>
        <w:rPr>
          <w:rFonts w:ascii="Times New Roman"/>
          <w:b/>
          <w:bCs/>
          <w:color w:val="000000"/>
          <w:sz w:val="24"/>
          <w:szCs w:val="24"/>
        </w:rPr>
        <w:t xml:space="preserve">Conversion Rate Optimization: </w:t>
      </w:r>
      <w:r>
        <w:rPr>
          <w:rFonts w:ascii="Times New Roman"/>
          <w:color w:val="000000"/>
          <w:sz w:val="24"/>
          <w:szCs w:val="24"/>
        </w:rPr>
        <w:t xml:space="preserve">Based on accumulated data from Phase 2, implement the highest-impact CRO initiatives identified through funnel analysis. Run structured A/B tests on the landing page (hero section, pricing section, CTA placement), in-product upgrade prompts, and email sequences. Implement smart feature gating and contextual upgrade messaging. Launch a time-limited Pro trial program for highly engaged free users.</w:t>
      </w:r>
    </w:p>
    <w:p>
      <w:pPr>
        <w:spacing w:after="120" w:line="312"/>
        <w:ind w:firstLine="480"/>
        <w:jc w:val="both"/>
      </w:pPr>
      <w:r>
        <w:rPr>
          <w:rFonts w:ascii="Times New Roman"/>
          <w:b/>
          <w:bCs/>
          <w:color w:val="000000"/>
          <w:sz w:val="24"/>
          <w:szCs w:val="24"/>
        </w:rPr>
        <w:t xml:space="preserve">Channel Optimization: </w:t>
      </w:r>
      <w:r>
        <w:rPr>
          <w:rFonts w:ascii="Times New Roman"/>
          <w:color w:val="000000"/>
          <w:sz w:val="24"/>
          <w:szCs w:val="24"/>
        </w:rPr>
        <w:t xml:space="preserve">Analyze channel performance data from the first six months and reallocate budget toward the highest-performing channels. Scale winning campaigns by 20-30% while reducing spend on underperforming ones. Expand the ABM program to the full 100-account target list. Develop channel-specific ROI models to guide future budget allocation decisions.</w:t>
      </w:r>
    </w:p>
    <w:p>
      <w:pPr>
        <w:spacing w:after="120" w:line="312"/>
        <w:ind w:firstLine="480"/>
        <w:jc w:val="both"/>
      </w:pPr>
      <w:r>
        <w:rPr>
          <w:rFonts w:ascii="Times New Roman"/>
          <w:b/>
          <w:bCs/>
          <w:color w:val="000000"/>
          <w:sz w:val="24"/>
          <w:szCs w:val="24"/>
        </w:rPr>
        <w:t xml:space="preserve">Marketing Automation Maturity: </w:t>
      </w:r>
      <w:r>
        <w:rPr>
          <w:rFonts w:ascii="Times New Roman"/>
          <w:color w:val="000000"/>
          <w:sz w:val="24"/>
          <w:szCs w:val="24"/>
        </w:rPr>
        <w:t xml:space="preserve">Implement advanced automation workflows including predictive lead scoring using machine learning models, multi-channel orchestration (coordinating email, ads, and in-product messaging for a unified user experience), lifecycle-stage-based campaign automation, and automated reporting that surfaces actionable insights to the marketing team.</w:t>
      </w:r>
    </w:p>
    <w:p>
      <w:pPr>
        <w:pStyle w:val="Heading2"/>
        <w:spacing w:after="120" w:before="280" w:line="312"/>
      </w:pPr>
      <w:bookmarkStart w:id="100045" w:name="_Toc100045"/>
      <w:r>
        <w:rPr>
          <w:rFonts w:ascii="Times New Roman"/>
          <w:b/>
          <w:bCs/>
          <w:color w:val="0B1220"/>
          <w:sz w:val="28"/>
          <w:szCs w:val="28"/>
        </w:rPr>
        <w:t xml:space="preserve">8.4 Phase 4: Maturity (Months 10-12)</w:t>
      </w:r>
      <w:bookmarkEnd w:id="100045"/>
    </w:p>
    <w:p>
      <w:pPr>
        <w:spacing w:after="120" w:line="312"/>
        <w:ind w:firstLine="480"/>
        <w:jc w:val="both"/>
      </w:pPr>
      <w:r>
        <w:rPr>
          <w:rFonts w:ascii="Times New Roman"/>
          <w:b/>
          <w:bCs/>
          <w:color w:val="000000"/>
          <w:sz w:val="24"/>
          <w:szCs w:val="24"/>
        </w:rPr>
        <w:t xml:space="preserve">Predictable Growth Engine: </w:t>
      </w:r>
      <w:r>
        <w:rPr>
          <w:rFonts w:ascii="Times New Roman"/>
          <w:color w:val="000000"/>
          <w:sz w:val="24"/>
          <w:szCs w:val="24"/>
        </w:rPr>
        <w:t xml:space="preserve">By this phase, the goal is to have established a predictable, repeatable growth engine where the relationship between marketing spend and revenue outcomes is well-understood and can be forecasted with reasonable accuracy. This requires sophisticated attribution modeling, reliable cohort analysis, and established unit economics (CAC, LTV, LTV:CAC ratio) that inform budget allocation decisions.</w:t>
      </w:r>
    </w:p>
    <w:p>
      <w:pPr>
        <w:spacing w:after="120" w:line="312"/>
        <w:ind w:firstLine="480"/>
        <w:jc w:val="both"/>
      </w:pPr>
      <w:r>
        <w:rPr>
          <w:rFonts w:ascii="Times New Roman"/>
          <w:b/>
          <w:bCs/>
          <w:color w:val="000000"/>
          <w:sz w:val="24"/>
          <w:szCs w:val="24"/>
        </w:rPr>
        <w:t xml:space="preserve">International Expansion Planning: </w:t>
      </w:r>
      <w:r>
        <w:rPr>
          <w:rFonts w:ascii="Times New Roman"/>
          <w:color w:val="000000"/>
          <w:sz w:val="24"/>
          <w:szCs w:val="24"/>
        </w:rPr>
        <w:t xml:space="preserve">Based on organic demand signals (traffic from non-English-speaking countries, international registrations, partnership inquiries), begin planning for international expansion. This includes translating key content into priority languages, setting up localized landing pages, configuring international SEO with hreflang tags, and researching local advertising platforms and content distribution channels.</w:t>
      </w:r>
    </w:p>
    <w:p>
      <w:pPr>
        <w:spacing w:after="120" w:line="312"/>
        <w:ind w:firstLine="480"/>
        <w:jc w:val="both"/>
      </w:pPr>
      <w:r>
        <w:rPr>
          <w:rFonts w:ascii="Times New Roman"/>
          <w:b/>
          <w:bCs/>
          <w:color w:val="000000"/>
          <w:sz w:val="24"/>
          <w:szCs w:val="24"/>
        </w:rPr>
        <w:t xml:space="preserve">Partnership &amp; Integration Ecosystem: </w:t>
      </w:r>
      <w:r>
        <w:rPr>
          <w:rFonts w:ascii="Times New Roman"/>
          <w:color w:val="000000"/>
          <w:sz w:val="24"/>
          <w:szCs w:val="24"/>
        </w:rPr>
        <w:t xml:space="preserve">Launch a formal partnership program targeting AI model providers (OpenAI, Anthropic, Google DeepMind), cloud platforms (AWS, GCP, Azure), and complementary SaaS tools. Develop an integration marketplace that allows third-party tools to connect with TheOneWayGDA platform, creating switching costs and network effects that strengthen the competitive moat.</w:t>
      </w:r>
    </w:p>
    <w:p>
      <w:pPr>
        <w:pStyle w:val="Heading1"/>
        <w:spacing w:after="160" w:before="360" w:line="312"/>
      </w:pPr>
      <w:bookmarkStart w:id="100046" w:name="_Toc100046"/>
      <w:r>
        <w:rPr>
          <w:rFonts w:ascii="Times New Roman"/>
          <w:b/>
          <w:bCs/>
          <w:color w:val="0B1220"/>
          <w:sz w:val="32"/>
          <w:szCs w:val="32"/>
        </w:rPr>
        <w:t xml:space="preserve">9. Budget Allocation</w:t>
      </w:r>
      <w:bookmarkEnd w:id="100046"/>
    </w:p>
    <w:p>
      <w:pPr>
        <w:spacing w:after="120" w:line="312"/>
        <w:ind w:firstLine="480"/>
        <w:jc w:val="both"/>
      </w:pPr>
      <w:r>
        <w:rPr>
          <w:rFonts w:ascii="Times New Roman"/>
          <w:color w:val="000000"/>
          <w:sz w:val="24"/>
          <w:szCs w:val="24"/>
        </w:rPr>
        <w:t xml:space="preserve">The budget allocation follows a phased approach that aligns spending with the implementation roadmap. In the early phases, investment is weighted toward infrastructure, content, and SEO which build long-term organic value. As the foundation matures, budget shifts toward paid advertising and ABM which deliver more immediate, measurable results at scale. The total recommended marketing budget for the first 12 months ranges from $8,000 to $15,000 per month depending on growth ambitions and available resources.</w:t>
      </w:r>
    </w:p>
    <w:p>
      <w:pPr>
        <w:keepNext/>
        <w:spacing w:after="80" w:before="200" w:line="312"/>
      </w:pPr>
      <w:r>
        <w:rPr>
          <w:rFonts w:ascii="Times New Roman"/>
          <w:b/>
          <w:bCs/>
          <w:color w:val="506070"/>
          <w:sz w:val="21"/>
          <w:szCs w:val="21"/>
        </w:rPr>
        <w:t xml:space="preserve">Table 10: Budget Allocation (USD)</w:t>
      </w:r>
    </w:p>
    <w:tbl>
      <w:tblPr>
        <w:tblW w:type="pct" w:w="100%"/>
        <w:tblBorders>
          <w:top w:val="single" w:color="D4875A" w:sz="2"/>
          <w:left w:val="none"/>
          <w:bottom w:val="single" w:color="D4875A" w:sz="2"/>
          <w:right w:val="none"/>
          <w:insideH w:val="single" w:color="DDD0C8" w:sz="1"/>
          <w:insideV w:val="none"/>
        </w:tblBorders>
        <w:tblLayout w:type="fixed"/>
      </w:tblPr>
      <w:tblGrid>
        <w:gridCol w:w="100"/>
        <w:gridCol w:w="100"/>
        <w:gridCol w:w="100"/>
        <w:gridCol w:w="100"/>
        <w:gridCol w:w="100"/>
        <w:gridCol w:w="100"/>
      </w:tblGrid>
      <w:tr>
        <w:trPr>
          <w:cantSplit/>
          <w:tblHeader/>
        </w:trPr>
        <w:tc>
          <w:tcPr>
            <w:tcW w:type="pct" w:w="16%"/>
            <w:tcBorders>
              <w:top w:val="none"/>
              <w:left w:val="none"/>
              <w:bottom w:val="single" w:color="D4875A" w:sz="2"/>
              <w:right w:val="none"/>
            </w:tcBorders>
            <w:shd w:fill="D4875A" w:val="clear"/>
            <w:tcMar>
              <w:top w:type="dxa" w:w="60"/>
              <w:left w:type="dxa" w:w="120"/>
              <w:bottom w:type="dxa" w:w="60"/>
              <w:right w:type="dxa" w:w="120"/>
            </w:tcMar>
          </w:tcPr>
          <w:p>
            <w:r>
              <w:rPr>
                <w:rFonts w:ascii="Calibri"/>
                <w:b/>
                <w:bCs/>
                <w:color w:val="FFFFFF"/>
                <w:sz w:val="21"/>
                <w:szCs w:val="21"/>
              </w:rPr>
              <w:t xml:space="preserve">Category</w:t>
            </w:r>
          </w:p>
        </w:tc>
        <w:tc>
          <w:tcPr>
            <w:tcW w:type="pct" w:w="16%"/>
            <w:tcBorders>
              <w:top w:val="none"/>
              <w:left w:val="none"/>
              <w:bottom w:val="single" w:color="D4875A" w:sz="2"/>
              <w:right w:val="none"/>
            </w:tcBorders>
            <w:shd w:fill="D4875A" w:val="clear"/>
            <w:tcMar>
              <w:top w:type="dxa" w:w="60"/>
              <w:left w:type="dxa" w:w="120"/>
              <w:bottom w:type="dxa" w:w="60"/>
              <w:right w:type="dxa" w:w="120"/>
            </w:tcMar>
          </w:tcPr>
          <w:p>
            <w:r>
              <w:rPr>
                <w:rFonts w:ascii="Calibri"/>
                <w:b/>
                <w:bCs/>
                <w:color w:val="FFFFFF"/>
                <w:sz w:val="21"/>
                <w:szCs w:val="21"/>
              </w:rPr>
              <w:t xml:space="preserve">Phase 1 (M1-3)</w:t>
            </w:r>
          </w:p>
        </w:tc>
        <w:tc>
          <w:tcPr>
            <w:tcW w:type="pct" w:w="16%"/>
            <w:tcBorders>
              <w:top w:val="none"/>
              <w:left w:val="none"/>
              <w:bottom w:val="single" w:color="D4875A" w:sz="2"/>
              <w:right w:val="none"/>
            </w:tcBorders>
            <w:shd w:fill="D4875A" w:val="clear"/>
            <w:tcMar>
              <w:top w:type="dxa" w:w="60"/>
              <w:left w:type="dxa" w:w="120"/>
              <w:bottom w:type="dxa" w:w="60"/>
              <w:right w:type="dxa" w:w="120"/>
            </w:tcMar>
          </w:tcPr>
          <w:p>
            <w:r>
              <w:rPr>
                <w:rFonts w:ascii="Calibri"/>
                <w:b/>
                <w:bCs/>
                <w:color w:val="FFFFFF"/>
                <w:sz w:val="21"/>
                <w:szCs w:val="21"/>
              </w:rPr>
              <w:t xml:space="preserve">Phase 2 (M4-6)</w:t>
            </w:r>
          </w:p>
        </w:tc>
        <w:tc>
          <w:tcPr>
            <w:tcW w:type="pct" w:w="16%"/>
            <w:tcBorders>
              <w:top w:val="none"/>
              <w:left w:val="none"/>
              <w:bottom w:val="single" w:color="D4875A" w:sz="2"/>
              <w:right w:val="none"/>
            </w:tcBorders>
            <w:shd w:fill="D4875A" w:val="clear"/>
            <w:tcMar>
              <w:top w:type="dxa" w:w="60"/>
              <w:left w:type="dxa" w:w="120"/>
              <w:bottom w:type="dxa" w:w="60"/>
              <w:right w:type="dxa" w:w="120"/>
            </w:tcMar>
          </w:tcPr>
          <w:p>
            <w:r>
              <w:rPr>
                <w:rFonts w:ascii="Calibri"/>
                <w:b/>
                <w:bCs/>
                <w:color w:val="FFFFFF"/>
                <w:sz w:val="21"/>
                <w:szCs w:val="21"/>
              </w:rPr>
              <w:t xml:space="preserve">Phase 3 (M7-9)</w:t>
            </w:r>
          </w:p>
        </w:tc>
        <w:tc>
          <w:tcPr>
            <w:tcW w:type="pct" w:w="16%"/>
            <w:tcBorders>
              <w:top w:val="none"/>
              <w:left w:val="none"/>
              <w:bottom w:val="single" w:color="D4875A" w:sz="2"/>
              <w:right w:val="none"/>
            </w:tcBorders>
            <w:shd w:fill="D4875A" w:val="clear"/>
            <w:tcMar>
              <w:top w:type="dxa" w:w="60"/>
              <w:left w:type="dxa" w:w="120"/>
              <w:bottom w:type="dxa" w:w="60"/>
              <w:right w:type="dxa" w:w="120"/>
            </w:tcMar>
          </w:tcPr>
          <w:p>
            <w:r>
              <w:rPr>
                <w:rFonts w:ascii="Calibri"/>
                <w:b/>
                <w:bCs/>
                <w:color w:val="FFFFFF"/>
                <w:sz w:val="21"/>
                <w:szCs w:val="21"/>
              </w:rPr>
              <w:t xml:space="preserve">Phase 4 (M10-12)</w:t>
            </w:r>
          </w:p>
        </w:tc>
        <w:tc>
          <w:tcPr>
            <w:tcW w:type="pct" w:w="16%"/>
            <w:tcBorders>
              <w:top w:val="none"/>
              <w:left w:val="none"/>
              <w:bottom w:val="single" w:color="D4875A" w:sz="2"/>
              <w:right w:val="none"/>
            </w:tcBorders>
            <w:shd w:fill="D4875A" w:val="clear"/>
            <w:tcMar>
              <w:top w:type="dxa" w:w="60"/>
              <w:left w:type="dxa" w:w="120"/>
              <w:bottom w:type="dxa" w:w="60"/>
              <w:right w:type="dxa" w:w="120"/>
            </w:tcMar>
          </w:tcPr>
          <w:p>
            <w:r>
              <w:rPr>
                <w:rFonts w:ascii="Calibri"/>
                <w:b/>
                <w:bCs/>
                <w:color w:val="FFFFFF"/>
                <w:sz w:val="21"/>
                <w:szCs w:val="21"/>
              </w:rPr>
              <w:t xml:space="preserve">Annual Total</w:t>
            </w:r>
          </w:p>
        </w:tc>
      </w:tr>
      <w:tr>
        <w:trPr>
          <w:cantSplit/>
        </w:trPr>
        <w:tc>
          <w:tcPr>
            <w:tcW w:type="pct" w:w="16%"/>
            <w:tcBorders>
              <w:top w:val="none"/>
              <w:left w:val="none"/>
              <w:bottom w:val="single" w:color="DDD0C8" w:sz="1"/>
              <w:right w:val="none"/>
            </w:tcBorders>
            <w:shd w:fill="F8F0EB" w:val="clear"/>
            <w:tcMar>
              <w:top w:type="dxa" w:w="60"/>
              <w:left w:type="dxa" w:w="120"/>
              <w:bottom w:type="dxa" w:w="60"/>
              <w:right w:type="dxa" w:w="120"/>
            </w:tcMar>
          </w:tcPr>
          <w:p>
            <w:r>
              <w:rPr>
                <w:rFonts w:ascii="Calibri"/>
                <w:color w:val="000000"/>
                <w:sz w:val="21"/>
                <w:szCs w:val="21"/>
              </w:rPr>
              <w:t xml:space="preserve">SEO &amp; Content</w:t>
            </w:r>
          </w:p>
        </w:tc>
        <w:tc>
          <w:tcPr>
            <w:tcW w:type="pct" w:w="16%"/>
            <w:tcBorders>
              <w:top w:val="none"/>
              <w:left w:val="none"/>
              <w:bottom w:val="single" w:color="DDD0C8" w:sz="1"/>
              <w:right w:val="none"/>
            </w:tcBorders>
            <w:shd w:fill="F8F0EB" w:val="clear"/>
            <w:tcMar>
              <w:top w:type="dxa" w:w="60"/>
              <w:left w:type="dxa" w:w="120"/>
              <w:bottom w:type="dxa" w:w="60"/>
              <w:right w:type="dxa" w:w="120"/>
            </w:tcMar>
          </w:tcPr>
          <w:p>
            <w:r>
              <w:rPr>
                <w:rFonts w:ascii="Calibri"/>
                <w:color w:val="000000"/>
                <w:sz w:val="21"/>
                <w:szCs w:val="21"/>
              </w:rPr>
              <w:t xml:space="preserve">$2,000</w:t>
            </w:r>
          </w:p>
        </w:tc>
        <w:tc>
          <w:tcPr>
            <w:tcW w:type="pct" w:w="16%"/>
            <w:tcBorders>
              <w:top w:val="none"/>
              <w:left w:val="none"/>
              <w:bottom w:val="single" w:color="DDD0C8" w:sz="1"/>
              <w:right w:val="none"/>
            </w:tcBorders>
            <w:shd w:fill="F8F0EB" w:val="clear"/>
            <w:tcMar>
              <w:top w:type="dxa" w:w="60"/>
              <w:left w:type="dxa" w:w="120"/>
              <w:bottom w:type="dxa" w:w="60"/>
              <w:right w:type="dxa" w:w="120"/>
            </w:tcMar>
          </w:tcPr>
          <w:p>
            <w:r>
              <w:rPr>
                <w:rFonts w:ascii="Calibri"/>
                <w:color w:val="000000"/>
                <w:sz w:val="21"/>
                <w:szCs w:val="21"/>
              </w:rPr>
              <w:t xml:space="preserve">$3,000</w:t>
            </w:r>
          </w:p>
        </w:tc>
        <w:tc>
          <w:tcPr>
            <w:tcW w:type="pct" w:w="16%"/>
            <w:tcBorders>
              <w:top w:val="none"/>
              <w:left w:val="none"/>
              <w:bottom w:val="single" w:color="DDD0C8" w:sz="1"/>
              <w:right w:val="none"/>
            </w:tcBorders>
            <w:shd w:fill="F8F0EB" w:val="clear"/>
            <w:tcMar>
              <w:top w:type="dxa" w:w="60"/>
              <w:left w:type="dxa" w:w="120"/>
              <w:bottom w:type="dxa" w:w="60"/>
              <w:right w:type="dxa" w:w="120"/>
            </w:tcMar>
          </w:tcPr>
          <w:p>
            <w:r>
              <w:rPr>
                <w:rFonts w:ascii="Calibri"/>
                <w:color w:val="000000"/>
                <w:sz w:val="21"/>
                <w:szCs w:val="21"/>
              </w:rPr>
              <w:t xml:space="preserve">$3,500</w:t>
            </w:r>
          </w:p>
        </w:tc>
        <w:tc>
          <w:tcPr>
            <w:tcW w:type="pct" w:w="16%"/>
            <w:tcBorders>
              <w:top w:val="none"/>
              <w:left w:val="none"/>
              <w:bottom w:val="single" w:color="DDD0C8" w:sz="1"/>
              <w:right w:val="none"/>
            </w:tcBorders>
            <w:shd w:fill="F8F0EB" w:val="clear"/>
            <w:tcMar>
              <w:top w:type="dxa" w:w="60"/>
              <w:left w:type="dxa" w:w="120"/>
              <w:bottom w:type="dxa" w:w="60"/>
              <w:right w:type="dxa" w:w="120"/>
            </w:tcMar>
          </w:tcPr>
          <w:p>
            <w:r>
              <w:rPr>
                <w:rFonts w:ascii="Calibri"/>
                <w:color w:val="000000"/>
                <w:sz w:val="21"/>
                <w:szCs w:val="21"/>
              </w:rPr>
              <w:t xml:space="preserve">$4,000</w:t>
            </w:r>
          </w:p>
        </w:tc>
        <w:tc>
          <w:tcPr>
            <w:tcW w:type="pct" w:w="16%"/>
            <w:tcBorders>
              <w:top w:val="none"/>
              <w:left w:val="none"/>
              <w:bottom w:val="single" w:color="DDD0C8" w:sz="1"/>
              <w:right w:val="none"/>
            </w:tcBorders>
            <w:shd w:fill="F8F0EB" w:val="clear"/>
            <w:tcMar>
              <w:top w:type="dxa" w:w="60"/>
              <w:left w:type="dxa" w:w="120"/>
              <w:bottom w:type="dxa" w:w="60"/>
              <w:right w:type="dxa" w:w="120"/>
            </w:tcMar>
          </w:tcPr>
          <w:p>
            <w:r>
              <w:rPr>
                <w:rFonts w:ascii="Calibri"/>
                <w:color w:val="000000"/>
                <w:sz w:val="21"/>
                <w:szCs w:val="21"/>
              </w:rPr>
              <w:t xml:space="preserve">$37,500</w:t>
            </w:r>
          </w:p>
        </w:tc>
      </w:tr>
      <w:tr>
        <w:trPr>
          <w:cantSplit/>
        </w:trPr>
        <w:tc>
          <w:tcPr>
            <w:tcW w:type="pct" w:w="16%"/>
            <w:tcBorders>
              <w:top w:val="none"/>
              <w:left w:val="none"/>
              <w:bottom w:val="single" w:color="DDD0C8" w:sz="1"/>
              <w:right w:val="none"/>
            </w:tcBorders>
            <w:shd w:fill="FFFFFF" w:val="clear"/>
            <w:tcMar>
              <w:top w:type="dxa" w:w="60"/>
              <w:left w:type="dxa" w:w="120"/>
              <w:bottom w:type="dxa" w:w="60"/>
              <w:right w:type="dxa" w:w="120"/>
            </w:tcMar>
          </w:tcPr>
          <w:p>
            <w:r>
              <w:rPr>
                <w:rFonts w:ascii="Calibri"/>
                <w:color w:val="000000"/>
                <w:sz w:val="21"/>
                <w:szCs w:val="21"/>
              </w:rPr>
              <w:t xml:space="preserve">Paid Advertising</w:t>
            </w:r>
          </w:p>
        </w:tc>
        <w:tc>
          <w:tcPr>
            <w:tcW w:type="pct" w:w="16%"/>
            <w:tcBorders>
              <w:top w:val="none"/>
              <w:left w:val="none"/>
              <w:bottom w:val="single" w:color="DDD0C8" w:sz="1"/>
              <w:right w:val="none"/>
            </w:tcBorders>
            <w:shd w:fill="FFFFFF" w:val="clear"/>
            <w:tcMar>
              <w:top w:type="dxa" w:w="60"/>
              <w:left w:type="dxa" w:w="120"/>
              <w:bottom w:type="dxa" w:w="60"/>
              <w:right w:type="dxa" w:w="120"/>
            </w:tcMar>
          </w:tcPr>
          <w:p>
            <w:r>
              <w:rPr>
                <w:rFonts w:ascii="Calibri"/>
                <w:color w:val="000000"/>
                <w:sz w:val="21"/>
                <w:szCs w:val="21"/>
              </w:rPr>
              <w:t xml:space="preserve">$1,000</w:t>
            </w:r>
          </w:p>
        </w:tc>
        <w:tc>
          <w:tcPr>
            <w:tcW w:type="pct" w:w="16%"/>
            <w:tcBorders>
              <w:top w:val="none"/>
              <w:left w:val="none"/>
              <w:bottom w:val="single" w:color="DDD0C8" w:sz="1"/>
              <w:right w:val="none"/>
            </w:tcBorders>
            <w:shd w:fill="FFFFFF" w:val="clear"/>
            <w:tcMar>
              <w:top w:type="dxa" w:w="60"/>
              <w:left w:type="dxa" w:w="120"/>
              <w:bottom w:type="dxa" w:w="60"/>
              <w:right w:type="dxa" w:w="120"/>
            </w:tcMar>
          </w:tcPr>
          <w:p>
            <w:r>
              <w:rPr>
                <w:rFonts w:ascii="Calibri"/>
                <w:color w:val="000000"/>
                <w:sz w:val="21"/>
                <w:szCs w:val="21"/>
              </w:rPr>
              <w:t xml:space="preserve">$4,000</w:t>
            </w:r>
          </w:p>
        </w:tc>
        <w:tc>
          <w:tcPr>
            <w:tcW w:type="pct" w:w="16%"/>
            <w:tcBorders>
              <w:top w:val="none"/>
              <w:left w:val="none"/>
              <w:bottom w:val="single" w:color="DDD0C8" w:sz="1"/>
              <w:right w:val="none"/>
            </w:tcBorders>
            <w:shd w:fill="FFFFFF" w:val="clear"/>
            <w:tcMar>
              <w:top w:type="dxa" w:w="60"/>
              <w:left w:type="dxa" w:w="120"/>
              <w:bottom w:type="dxa" w:w="60"/>
              <w:right w:type="dxa" w:w="120"/>
            </w:tcMar>
          </w:tcPr>
          <w:p>
            <w:r>
              <w:rPr>
                <w:rFonts w:ascii="Calibri"/>
                <w:color w:val="000000"/>
                <w:sz w:val="21"/>
                <w:szCs w:val="21"/>
              </w:rPr>
              <w:t xml:space="preserve">$6,000</w:t>
            </w:r>
          </w:p>
        </w:tc>
        <w:tc>
          <w:tcPr>
            <w:tcW w:type="pct" w:w="16%"/>
            <w:tcBorders>
              <w:top w:val="none"/>
              <w:left w:val="none"/>
              <w:bottom w:val="single" w:color="DDD0C8" w:sz="1"/>
              <w:right w:val="none"/>
            </w:tcBorders>
            <w:shd w:fill="FFFFFF" w:val="clear"/>
            <w:tcMar>
              <w:top w:type="dxa" w:w="60"/>
              <w:left w:type="dxa" w:w="120"/>
              <w:bottom w:type="dxa" w:w="60"/>
              <w:right w:type="dxa" w:w="120"/>
            </w:tcMar>
          </w:tcPr>
          <w:p>
            <w:r>
              <w:rPr>
                <w:rFonts w:ascii="Calibri"/>
                <w:color w:val="000000"/>
                <w:sz w:val="21"/>
                <w:szCs w:val="21"/>
              </w:rPr>
              <w:t xml:space="preserve">$7,000</w:t>
            </w:r>
          </w:p>
        </w:tc>
        <w:tc>
          <w:tcPr>
            <w:tcW w:type="pct" w:w="16%"/>
            <w:tcBorders>
              <w:top w:val="none"/>
              <w:left w:val="none"/>
              <w:bottom w:val="single" w:color="DDD0C8" w:sz="1"/>
              <w:right w:val="none"/>
            </w:tcBorders>
            <w:shd w:fill="FFFFFF" w:val="clear"/>
            <w:tcMar>
              <w:top w:type="dxa" w:w="60"/>
              <w:left w:type="dxa" w:w="120"/>
              <w:bottom w:type="dxa" w:w="60"/>
              <w:right w:type="dxa" w:w="120"/>
            </w:tcMar>
          </w:tcPr>
          <w:p>
            <w:r>
              <w:rPr>
                <w:rFonts w:ascii="Calibri"/>
                <w:color w:val="000000"/>
                <w:sz w:val="21"/>
                <w:szCs w:val="21"/>
              </w:rPr>
              <w:t xml:space="preserve">$54,000</w:t>
            </w:r>
          </w:p>
        </w:tc>
      </w:tr>
      <w:tr>
        <w:trPr>
          <w:cantSplit/>
        </w:trPr>
        <w:tc>
          <w:tcPr>
            <w:tcW w:type="pct" w:w="16%"/>
            <w:tcBorders>
              <w:top w:val="none"/>
              <w:left w:val="none"/>
              <w:bottom w:val="single" w:color="DDD0C8" w:sz="1"/>
              <w:right w:val="none"/>
            </w:tcBorders>
            <w:shd w:fill="F8F0EB" w:val="clear"/>
            <w:tcMar>
              <w:top w:type="dxa" w:w="60"/>
              <w:left w:type="dxa" w:w="120"/>
              <w:bottom w:type="dxa" w:w="60"/>
              <w:right w:type="dxa" w:w="120"/>
            </w:tcMar>
          </w:tcPr>
          <w:p>
            <w:r>
              <w:rPr>
                <w:rFonts w:ascii="Calibri"/>
                <w:color w:val="000000"/>
                <w:sz w:val="21"/>
                <w:szCs w:val="21"/>
              </w:rPr>
              <w:t xml:space="preserve">Email &amp; Automation Tools</w:t>
            </w:r>
          </w:p>
        </w:tc>
        <w:tc>
          <w:tcPr>
            <w:tcW w:type="pct" w:w="16%"/>
            <w:tcBorders>
              <w:top w:val="none"/>
              <w:left w:val="none"/>
              <w:bottom w:val="single" w:color="DDD0C8" w:sz="1"/>
              <w:right w:val="none"/>
            </w:tcBorders>
            <w:shd w:fill="F8F0EB" w:val="clear"/>
            <w:tcMar>
              <w:top w:type="dxa" w:w="60"/>
              <w:left w:type="dxa" w:w="120"/>
              <w:bottom w:type="dxa" w:w="60"/>
              <w:right w:type="dxa" w:w="120"/>
            </w:tcMar>
          </w:tcPr>
          <w:p>
            <w:r>
              <w:rPr>
                <w:rFonts w:ascii="Calibri"/>
                <w:color w:val="000000"/>
                <w:sz w:val="21"/>
                <w:szCs w:val="21"/>
              </w:rPr>
              <w:t xml:space="preserve">$1,500</w:t>
            </w:r>
          </w:p>
        </w:tc>
        <w:tc>
          <w:tcPr>
            <w:tcW w:type="pct" w:w="16%"/>
            <w:tcBorders>
              <w:top w:val="none"/>
              <w:left w:val="none"/>
              <w:bottom w:val="single" w:color="DDD0C8" w:sz="1"/>
              <w:right w:val="none"/>
            </w:tcBorders>
            <w:shd w:fill="F8F0EB" w:val="clear"/>
            <w:tcMar>
              <w:top w:type="dxa" w:w="60"/>
              <w:left w:type="dxa" w:w="120"/>
              <w:bottom w:type="dxa" w:w="60"/>
              <w:right w:type="dxa" w:w="120"/>
            </w:tcMar>
          </w:tcPr>
          <w:p>
            <w:r>
              <w:rPr>
                <w:rFonts w:ascii="Calibri"/>
                <w:color w:val="000000"/>
                <w:sz w:val="21"/>
                <w:szCs w:val="21"/>
              </w:rPr>
              <w:t xml:space="preserve">$1,500</w:t>
            </w:r>
          </w:p>
        </w:tc>
        <w:tc>
          <w:tcPr>
            <w:tcW w:type="pct" w:w="16%"/>
            <w:tcBorders>
              <w:top w:val="none"/>
              <w:left w:val="none"/>
              <w:bottom w:val="single" w:color="DDD0C8" w:sz="1"/>
              <w:right w:val="none"/>
            </w:tcBorders>
            <w:shd w:fill="F8F0EB" w:val="clear"/>
            <w:tcMar>
              <w:top w:type="dxa" w:w="60"/>
              <w:left w:type="dxa" w:w="120"/>
              <w:bottom w:type="dxa" w:w="60"/>
              <w:right w:type="dxa" w:w="120"/>
            </w:tcMar>
          </w:tcPr>
          <w:p>
            <w:r>
              <w:rPr>
                <w:rFonts w:ascii="Calibri"/>
                <w:color w:val="000000"/>
                <w:sz w:val="21"/>
                <w:szCs w:val="21"/>
              </w:rPr>
              <w:t xml:space="preserve">$1,500</w:t>
            </w:r>
          </w:p>
        </w:tc>
        <w:tc>
          <w:tcPr>
            <w:tcW w:type="pct" w:w="16%"/>
            <w:tcBorders>
              <w:top w:val="none"/>
              <w:left w:val="none"/>
              <w:bottom w:val="single" w:color="DDD0C8" w:sz="1"/>
              <w:right w:val="none"/>
            </w:tcBorders>
            <w:shd w:fill="F8F0EB" w:val="clear"/>
            <w:tcMar>
              <w:top w:type="dxa" w:w="60"/>
              <w:left w:type="dxa" w:w="120"/>
              <w:bottom w:type="dxa" w:w="60"/>
              <w:right w:type="dxa" w:w="120"/>
            </w:tcMar>
          </w:tcPr>
          <w:p>
            <w:r>
              <w:rPr>
                <w:rFonts w:ascii="Calibri"/>
                <w:color w:val="000000"/>
                <w:sz w:val="21"/>
                <w:szCs w:val="21"/>
              </w:rPr>
              <w:t xml:space="preserve">$1,500</w:t>
            </w:r>
          </w:p>
        </w:tc>
        <w:tc>
          <w:tcPr>
            <w:tcW w:type="pct" w:w="16%"/>
            <w:tcBorders>
              <w:top w:val="none"/>
              <w:left w:val="none"/>
              <w:bottom w:val="single" w:color="DDD0C8" w:sz="1"/>
              <w:right w:val="none"/>
            </w:tcBorders>
            <w:shd w:fill="F8F0EB" w:val="clear"/>
            <w:tcMar>
              <w:top w:type="dxa" w:w="60"/>
              <w:left w:type="dxa" w:w="120"/>
              <w:bottom w:type="dxa" w:w="60"/>
              <w:right w:type="dxa" w:w="120"/>
            </w:tcMar>
          </w:tcPr>
          <w:p>
            <w:r>
              <w:rPr>
                <w:rFonts w:ascii="Calibri"/>
                <w:color w:val="000000"/>
                <w:sz w:val="21"/>
                <w:szCs w:val="21"/>
              </w:rPr>
              <w:t xml:space="preserve">$18,000</w:t>
            </w:r>
          </w:p>
        </w:tc>
      </w:tr>
      <w:tr>
        <w:trPr>
          <w:cantSplit/>
        </w:trPr>
        <w:tc>
          <w:tcPr>
            <w:tcW w:type="pct" w:w="16%"/>
            <w:tcBorders>
              <w:top w:val="none"/>
              <w:left w:val="none"/>
              <w:bottom w:val="single" w:color="DDD0C8" w:sz="1"/>
              <w:right w:val="none"/>
            </w:tcBorders>
            <w:shd w:fill="FFFFFF" w:val="clear"/>
            <w:tcMar>
              <w:top w:type="dxa" w:w="60"/>
              <w:left w:type="dxa" w:w="120"/>
              <w:bottom w:type="dxa" w:w="60"/>
              <w:right w:type="dxa" w:w="120"/>
            </w:tcMar>
          </w:tcPr>
          <w:p>
            <w:r>
              <w:rPr>
                <w:rFonts w:ascii="Calibri"/>
                <w:color w:val="000000"/>
                <w:sz w:val="21"/>
                <w:szCs w:val="21"/>
              </w:rPr>
              <w:t xml:space="preserve">ABM Programs</w:t>
            </w:r>
          </w:p>
        </w:tc>
        <w:tc>
          <w:tcPr>
            <w:tcW w:type="pct" w:w="16%"/>
            <w:tcBorders>
              <w:top w:val="none"/>
              <w:left w:val="none"/>
              <w:bottom w:val="single" w:color="DDD0C8" w:sz="1"/>
              <w:right w:val="none"/>
            </w:tcBorders>
            <w:shd w:fill="FFFFFF" w:val="clear"/>
            <w:tcMar>
              <w:top w:type="dxa" w:w="60"/>
              <w:left w:type="dxa" w:w="120"/>
              <w:bottom w:type="dxa" w:w="60"/>
              <w:right w:type="dxa" w:w="120"/>
            </w:tcMar>
          </w:tcPr>
          <w:p>
            <w:r>
              <w:rPr>
                <w:rFonts w:ascii="Calibri"/>
                <w:color w:val="000000"/>
                <w:sz w:val="21"/>
                <w:szCs w:val="21"/>
              </w:rPr>
              <w:t xml:space="preserve">$500</w:t>
            </w:r>
          </w:p>
        </w:tc>
        <w:tc>
          <w:tcPr>
            <w:tcW w:type="pct" w:w="16%"/>
            <w:tcBorders>
              <w:top w:val="none"/>
              <w:left w:val="none"/>
              <w:bottom w:val="single" w:color="DDD0C8" w:sz="1"/>
              <w:right w:val="none"/>
            </w:tcBorders>
            <w:shd w:fill="FFFFFF" w:val="clear"/>
            <w:tcMar>
              <w:top w:type="dxa" w:w="60"/>
              <w:left w:type="dxa" w:w="120"/>
              <w:bottom w:type="dxa" w:w="60"/>
              <w:right w:type="dxa" w:w="120"/>
            </w:tcMar>
          </w:tcPr>
          <w:p>
            <w:r>
              <w:rPr>
                <w:rFonts w:ascii="Calibri"/>
                <w:color w:val="000000"/>
                <w:sz w:val="21"/>
                <w:szCs w:val="21"/>
              </w:rPr>
              <w:t xml:space="preserve">$2,000</w:t>
            </w:r>
          </w:p>
        </w:tc>
        <w:tc>
          <w:tcPr>
            <w:tcW w:type="pct" w:w="16%"/>
            <w:tcBorders>
              <w:top w:val="none"/>
              <w:left w:val="none"/>
              <w:bottom w:val="single" w:color="DDD0C8" w:sz="1"/>
              <w:right w:val="none"/>
            </w:tcBorders>
            <w:shd w:fill="FFFFFF" w:val="clear"/>
            <w:tcMar>
              <w:top w:type="dxa" w:w="60"/>
              <w:left w:type="dxa" w:w="120"/>
              <w:bottom w:type="dxa" w:w="60"/>
              <w:right w:type="dxa" w:w="120"/>
            </w:tcMar>
          </w:tcPr>
          <w:p>
            <w:r>
              <w:rPr>
                <w:rFonts w:ascii="Calibri"/>
                <w:color w:val="000000"/>
                <w:sz w:val="21"/>
                <w:szCs w:val="21"/>
              </w:rPr>
              <w:t xml:space="preserve">$3,000</w:t>
            </w:r>
          </w:p>
        </w:tc>
        <w:tc>
          <w:tcPr>
            <w:tcW w:type="pct" w:w="16%"/>
            <w:tcBorders>
              <w:top w:val="none"/>
              <w:left w:val="none"/>
              <w:bottom w:val="single" w:color="DDD0C8" w:sz="1"/>
              <w:right w:val="none"/>
            </w:tcBorders>
            <w:shd w:fill="FFFFFF" w:val="clear"/>
            <w:tcMar>
              <w:top w:type="dxa" w:w="60"/>
              <w:left w:type="dxa" w:w="120"/>
              <w:bottom w:type="dxa" w:w="60"/>
              <w:right w:type="dxa" w:w="120"/>
            </w:tcMar>
          </w:tcPr>
          <w:p>
            <w:r>
              <w:rPr>
                <w:rFonts w:ascii="Calibri"/>
                <w:color w:val="000000"/>
                <w:sz w:val="21"/>
                <w:szCs w:val="21"/>
              </w:rPr>
              <w:t xml:space="preserve">$3,500</w:t>
            </w:r>
          </w:p>
        </w:tc>
        <w:tc>
          <w:tcPr>
            <w:tcW w:type="pct" w:w="16%"/>
            <w:tcBorders>
              <w:top w:val="none"/>
              <w:left w:val="none"/>
              <w:bottom w:val="single" w:color="DDD0C8" w:sz="1"/>
              <w:right w:val="none"/>
            </w:tcBorders>
            <w:shd w:fill="FFFFFF" w:val="clear"/>
            <w:tcMar>
              <w:top w:type="dxa" w:w="60"/>
              <w:left w:type="dxa" w:w="120"/>
              <w:bottom w:type="dxa" w:w="60"/>
              <w:right w:type="dxa" w:w="120"/>
            </w:tcMar>
          </w:tcPr>
          <w:p>
            <w:r>
              <w:rPr>
                <w:rFonts w:ascii="Calibri"/>
                <w:color w:val="000000"/>
                <w:sz w:val="21"/>
                <w:szCs w:val="21"/>
              </w:rPr>
              <w:t xml:space="preserve">$27,000</w:t>
            </w:r>
          </w:p>
        </w:tc>
      </w:tr>
      <w:tr>
        <w:trPr>
          <w:cantSplit/>
        </w:trPr>
        <w:tc>
          <w:tcPr>
            <w:tcW w:type="pct" w:w="16%"/>
            <w:tcBorders>
              <w:top w:val="none"/>
              <w:left w:val="none"/>
              <w:bottom w:val="single" w:color="DDD0C8" w:sz="1"/>
              <w:right w:val="none"/>
            </w:tcBorders>
            <w:shd w:fill="F8F0EB" w:val="clear"/>
            <w:tcMar>
              <w:top w:type="dxa" w:w="60"/>
              <w:left w:type="dxa" w:w="120"/>
              <w:bottom w:type="dxa" w:w="60"/>
              <w:right w:type="dxa" w:w="120"/>
            </w:tcMar>
          </w:tcPr>
          <w:p>
            <w:r>
              <w:rPr>
                <w:rFonts w:ascii="Calibri"/>
                <w:color w:val="000000"/>
                <w:sz w:val="21"/>
                <w:szCs w:val="21"/>
              </w:rPr>
              <w:t xml:space="preserve">CRO &amp; Analytics Tools</w:t>
            </w:r>
          </w:p>
        </w:tc>
        <w:tc>
          <w:tcPr>
            <w:tcW w:type="pct" w:w="16%"/>
            <w:tcBorders>
              <w:top w:val="none"/>
              <w:left w:val="none"/>
              <w:bottom w:val="single" w:color="DDD0C8" w:sz="1"/>
              <w:right w:val="none"/>
            </w:tcBorders>
            <w:shd w:fill="F8F0EB" w:val="clear"/>
            <w:tcMar>
              <w:top w:type="dxa" w:w="60"/>
              <w:left w:type="dxa" w:w="120"/>
              <w:bottom w:type="dxa" w:w="60"/>
              <w:right w:type="dxa" w:w="120"/>
            </w:tcMar>
          </w:tcPr>
          <w:p>
            <w:r>
              <w:rPr>
                <w:rFonts w:ascii="Calibri"/>
                <w:color w:val="000000"/>
                <w:sz w:val="21"/>
                <w:szCs w:val="21"/>
              </w:rPr>
              <w:t xml:space="preserve">$1,000</w:t>
            </w:r>
          </w:p>
        </w:tc>
        <w:tc>
          <w:tcPr>
            <w:tcW w:type="pct" w:w="16%"/>
            <w:tcBorders>
              <w:top w:val="none"/>
              <w:left w:val="none"/>
              <w:bottom w:val="single" w:color="DDD0C8" w:sz="1"/>
              <w:right w:val="none"/>
            </w:tcBorders>
            <w:shd w:fill="F8F0EB" w:val="clear"/>
            <w:tcMar>
              <w:top w:type="dxa" w:w="60"/>
              <w:left w:type="dxa" w:w="120"/>
              <w:bottom w:type="dxa" w:w="60"/>
              <w:right w:type="dxa" w:w="120"/>
            </w:tcMar>
          </w:tcPr>
          <w:p>
            <w:r>
              <w:rPr>
                <w:rFonts w:ascii="Calibri"/>
                <w:color w:val="000000"/>
                <w:sz w:val="21"/>
                <w:szCs w:val="21"/>
              </w:rPr>
              <w:t xml:space="preserve">$800</w:t>
            </w:r>
          </w:p>
        </w:tc>
        <w:tc>
          <w:tcPr>
            <w:tcW w:type="pct" w:w="16%"/>
            <w:tcBorders>
              <w:top w:val="none"/>
              <w:left w:val="none"/>
              <w:bottom w:val="single" w:color="DDD0C8" w:sz="1"/>
              <w:right w:val="none"/>
            </w:tcBorders>
            <w:shd w:fill="F8F0EB" w:val="clear"/>
            <w:tcMar>
              <w:top w:type="dxa" w:w="60"/>
              <w:left w:type="dxa" w:w="120"/>
              <w:bottom w:type="dxa" w:w="60"/>
              <w:right w:type="dxa" w:w="120"/>
            </w:tcMar>
          </w:tcPr>
          <w:p>
            <w:r>
              <w:rPr>
                <w:rFonts w:ascii="Calibri"/>
                <w:color w:val="000000"/>
                <w:sz w:val="21"/>
                <w:szCs w:val="21"/>
              </w:rPr>
              <w:t xml:space="preserve">$500</w:t>
            </w:r>
          </w:p>
        </w:tc>
        <w:tc>
          <w:tcPr>
            <w:tcW w:type="pct" w:w="16%"/>
            <w:tcBorders>
              <w:top w:val="none"/>
              <w:left w:val="none"/>
              <w:bottom w:val="single" w:color="DDD0C8" w:sz="1"/>
              <w:right w:val="none"/>
            </w:tcBorders>
            <w:shd w:fill="F8F0EB" w:val="clear"/>
            <w:tcMar>
              <w:top w:type="dxa" w:w="60"/>
              <w:left w:type="dxa" w:w="120"/>
              <w:bottom w:type="dxa" w:w="60"/>
              <w:right w:type="dxa" w:w="120"/>
            </w:tcMar>
          </w:tcPr>
          <w:p>
            <w:r>
              <w:rPr>
                <w:rFonts w:ascii="Calibri"/>
                <w:color w:val="000000"/>
                <w:sz w:val="21"/>
                <w:szCs w:val="21"/>
              </w:rPr>
              <w:t xml:space="preserve">$500</w:t>
            </w:r>
          </w:p>
        </w:tc>
        <w:tc>
          <w:tcPr>
            <w:tcW w:type="pct" w:w="16%"/>
            <w:tcBorders>
              <w:top w:val="none"/>
              <w:left w:val="none"/>
              <w:bottom w:val="single" w:color="DDD0C8" w:sz="1"/>
              <w:right w:val="none"/>
            </w:tcBorders>
            <w:shd w:fill="F8F0EB" w:val="clear"/>
            <w:tcMar>
              <w:top w:type="dxa" w:w="60"/>
              <w:left w:type="dxa" w:w="120"/>
              <w:bottom w:type="dxa" w:w="60"/>
              <w:right w:type="dxa" w:w="120"/>
            </w:tcMar>
          </w:tcPr>
          <w:p>
            <w:r>
              <w:rPr>
                <w:rFonts w:ascii="Calibri"/>
                <w:color w:val="000000"/>
                <w:sz w:val="21"/>
                <w:szCs w:val="21"/>
              </w:rPr>
              <w:t xml:space="preserve">$8,400</w:t>
            </w:r>
          </w:p>
        </w:tc>
      </w:tr>
      <w:tr>
        <w:trPr>
          <w:cantSplit/>
        </w:trPr>
        <w:tc>
          <w:tcPr>
            <w:tcW w:type="pct" w:w="16%"/>
            <w:tcBorders>
              <w:top w:val="none"/>
              <w:left w:val="none"/>
              <w:bottom w:val="single" w:color="DDD0C8" w:sz="1"/>
              <w:right w:val="none"/>
            </w:tcBorders>
            <w:shd w:fill="FFFFFF" w:val="clear"/>
            <w:tcMar>
              <w:top w:type="dxa" w:w="60"/>
              <w:left w:type="dxa" w:w="120"/>
              <w:bottom w:type="dxa" w:w="60"/>
              <w:right w:type="dxa" w:w="120"/>
            </w:tcMar>
          </w:tcPr>
          <w:p>
            <w:r>
              <w:rPr>
                <w:rFonts w:ascii="Calibri"/>
                <w:color w:val="000000"/>
                <w:sz w:val="21"/>
                <w:szCs w:val="21"/>
              </w:rPr>
              <w:t xml:space="preserve">Content Production</w:t>
            </w:r>
          </w:p>
        </w:tc>
        <w:tc>
          <w:tcPr>
            <w:tcW w:type="pct" w:w="16%"/>
            <w:tcBorders>
              <w:top w:val="none"/>
              <w:left w:val="none"/>
              <w:bottom w:val="single" w:color="DDD0C8" w:sz="1"/>
              <w:right w:val="none"/>
            </w:tcBorders>
            <w:shd w:fill="FFFFFF" w:val="clear"/>
            <w:tcMar>
              <w:top w:type="dxa" w:w="60"/>
              <w:left w:type="dxa" w:w="120"/>
              <w:bottom w:type="dxa" w:w="60"/>
              <w:right w:type="dxa" w:w="120"/>
            </w:tcMar>
          </w:tcPr>
          <w:p>
            <w:r>
              <w:rPr>
                <w:rFonts w:ascii="Calibri"/>
                <w:color w:val="000000"/>
                <w:sz w:val="21"/>
                <w:szCs w:val="21"/>
              </w:rPr>
              <w:t xml:space="preserve">$2,000</w:t>
            </w:r>
          </w:p>
        </w:tc>
        <w:tc>
          <w:tcPr>
            <w:tcW w:type="pct" w:w="16%"/>
            <w:tcBorders>
              <w:top w:val="none"/>
              <w:left w:val="none"/>
              <w:bottom w:val="single" w:color="DDD0C8" w:sz="1"/>
              <w:right w:val="none"/>
            </w:tcBorders>
            <w:shd w:fill="FFFFFF" w:val="clear"/>
            <w:tcMar>
              <w:top w:type="dxa" w:w="60"/>
              <w:left w:type="dxa" w:w="120"/>
              <w:bottom w:type="dxa" w:w="60"/>
              <w:right w:type="dxa" w:w="120"/>
            </w:tcMar>
          </w:tcPr>
          <w:p>
            <w:r>
              <w:rPr>
                <w:rFonts w:ascii="Calibri"/>
                <w:color w:val="000000"/>
                <w:sz w:val="21"/>
                <w:szCs w:val="21"/>
              </w:rPr>
              <w:t xml:space="preserve">$3,000</w:t>
            </w:r>
          </w:p>
        </w:tc>
        <w:tc>
          <w:tcPr>
            <w:tcW w:type="pct" w:w="16%"/>
            <w:tcBorders>
              <w:top w:val="none"/>
              <w:left w:val="none"/>
              <w:bottom w:val="single" w:color="DDD0C8" w:sz="1"/>
              <w:right w:val="none"/>
            </w:tcBorders>
            <w:shd w:fill="FFFFFF" w:val="clear"/>
            <w:tcMar>
              <w:top w:type="dxa" w:w="60"/>
              <w:left w:type="dxa" w:w="120"/>
              <w:bottom w:type="dxa" w:w="60"/>
              <w:right w:type="dxa" w:w="120"/>
            </w:tcMar>
          </w:tcPr>
          <w:p>
            <w:r>
              <w:rPr>
                <w:rFonts w:ascii="Calibri"/>
                <w:color w:val="000000"/>
                <w:sz w:val="21"/>
                <w:szCs w:val="21"/>
              </w:rPr>
              <w:t xml:space="preserve">$3,000</w:t>
            </w:r>
          </w:p>
        </w:tc>
        <w:tc>
          <w:tcPr>
            <w:tcW w:type="pct" w:w="16%"/>
            <w:tcBorders>
              <w:top w:val="none"/>
              <w:left w:val="none"/>
              <w:bottom w:val="single" w:color="DDD0C8" w:sz="1"/>
              <w:right w:val="none"/>
            </w:tcBorders>
            <w:shd w:fill="FFFFFF" w:val="clear"/>
            <w:tcMar>
              <w:top w:type="dxa" w:w="60"/>
              <w:left w:type="dxa" w:w="120"/>
              <w:bottom w:type="dxa" w:w="60"/>
              <w:right w:type="dxa" w:w="120"/>
            </w:tcMar>
          </w:tcPr>
          <w:p>
            <w:r>
              <w:rPr>
                <w:rFonts w:ascii="Calibri"/>
                <w:color w:val="000000"/>
                <w:sz w:val="21"/>
                <w:szCs w:val="21"/>
              </w:rPr>
              <w:t xml:space="preserve">$3,000</w:t>
            </w:r>
          </w:p>
        </w:tc>
        <w:tc>
          <w:tcPr>
            <w:tcW w:type="pct" w:w="16%"/>
            <w:tcBorders>
              <w:top w:val="none"/>
              <w:left w:val="none"/>
              <w:bottom w:val="single" w:color="DDD0C8" w:sz="1"/>
              <w:right w:val="none"/>
            </w:tcBorders>
            <w:shd w:fill="FFFFFF" w:val="clear"/>
            <w:tcMar>
              <w:top w:type="dxa" w:w="60"/>
              <w:left w:type="dxa" w:w="120"/>
              <w:bottom w:type="dxa" w:w="60"/>
              <w:right w:type="dxa" w:w="120"/>
            </w:tcMar>
          </w:tcPr>
          <w:p>
            <w:r>
              <w:rPr>
                <w:rFonts w:ascii="Calibri"/>
                <w:color w:val="000000"/>
                <w:sz w:val="21"/>
                <w:szCs w:val="21"/>
              </w:rPr>
              <w:t xml:space="preserve">$33,000</w:t>
            </w:r>
          </w:p>
        </w:tc>
      </w:tr>
      <w:tr>
        <w:trPr>
          <w:cantSplit/>
        </w:trPr>
        <w:tc>
          <w:tcPr>
            <w:tcW w:type="pct" w:w="16%"/>
            <w:tcBorders>
              <w:top w:val="none"/>
              <w:left w:val="none"/>
              <w:bottom w:val="single" w:color="DDD0C8" w:sz="1"/>
              <w:right w:val="none"/>
            </w:tcBorders>
            <w:shd w:fill="F8F0EB" w:val="clear"/>
            <w:tcMar>
              <w:top w:type="dxa" w:w="60"/>
              <w:left w:type="dxa" w:w="120"/>
              <w:bottom w:type="dxa" w:w="60"/>
              <w:right w:type="dxa" w:w="120"/>
            </w:tcMar>
          </w:tcPr>
          <w:p>
            <w:r>
              <w:rPr>
                <w:rFonts w:ascii="Calibri"/>
                <w:color w:val="000000"/>
                <w:sz w:val="21"/>
                <w:szCs w:val="21"/>
              </w:rPr>
              <w:t xml:space="preserve">Total Monthly</w:t>
            </w:r>
          </w:p>
        </w:tc>
        <w:tc>
          <w:tcPr>
            <w:tcW w:type="pct" w:w="16%"/>
            <w:tcBorders>
              <w:top w:val="none"/>
              <w:left w:val="none"/>
              <w:bottom w:val="single" w:color="DDD0C8" w:sz="1"/>
              <w:right w:val="none"/>
            </w:tcBorders>
            <w:shd w:fill="F8F0EB" w:val="clear"/>
            <w:tcMar>
              <w:top w:type="dxa" w:w="60"/>
              <w:left w:type="dxa" w:w="120"/>
              <w:bottom w:type="dxa" w:w="60"/>
              <w:right w:type="dxa" w:w="120"/>
            </w:tcMar>
          </w:tcPr>
          <w:p>
            <w:r>
              <w:rPr>
                <w:rFonts w:ascii="Calibri"/>
                <w:color w:val="000000"/>
                <w:sz w:val="21"/>
                <w:szCs w:val="21"/>
              </w:rPr>
              <w:t xml:space="preserve">$8,000</w:t>
            </w:r>
          </w:p>
        </w:tc>
        <w:tc>
          <w:tcPr>
            <w:tcW w:type="pct" w:w="16%"/>
            <w:tcBorders>
              <w:top w:val="none"/>
              <w:left w:val="none"/>
              <w:bottom w:val="single" w:color="DDD0C8" w:sz="1"/>
              <w:right w:val="none"/>
            </w:tcBorders>
            <w:shd w:fill="F8F0EB" w:val="clear"/>
            <w:tcMar>
              <w:top w:type="dxa" w:w="60"/>
              <w:left w:type="dxa" w:w="120"/>
              <w:bottom w:type="dxa" w:w="60"/>
              <w:right w:type="dxa" w:w="120"/>
            </w:tcMar>
          </w:tcPr>
          <w:p>
            <w:r>
              <w:rPr>
                <w:rFonts w:ascii="Calibri"/>
                <w:color w:val="000000"/>
                <w:sz w:val="21"/>
                <w:szCs w:val="21"/>
              </w:rPr>
              <w:t xml:space="preserve">$14,300</w:t>
            </w:r>
          </w:p>
        </w:tc>
        <w:tc>
          <w:tcPr>
            <w:tcW w:type="pct" w:w="16%"/>
            <w:tcBorders>
              <w:top w:val="none"/>
              <w:left w:val="none"/>
              <w:bottom w:val="single" w:color="DDD0C8" w:sz="1"/>
              <w:right w:val="none"/>
            </w:tcBorders>
            <w:shd w:fill="F8F0EB" w:val="clear"/>
            <w:tcMar>
              <w:top w:type="dxa" w:w="60"/>
              <w:left w:type="dxa" w:w="120"/>
              <w:bottom w:type="dxa" w:w="60"/>
              <w:right w:type="dxa" w:w="120"/>
            </w:tcMar>
          </w:tcPr>
          <w:p>
            <w:r>
              <w:rPr>
                <w:rFonts w:ascii="Calibri"/>
                <w:color w:val="000000"/>
                <w:sz w:val="21"/>
                <w:szCs w:val="21"/>
              </w:rPr>
              <w:t xml:space="preserve">$17,500</w:t>
            </w:r>
          </w:p>
        </w:tc>
        <w:tc>
          <w:tcPr>
            <w:tcW w:type="pct" w:w="16%"/>
            <w:tcBorders>
              <w:top w:val="none"/>
              <w:left w:val="none"/>
              <w:bottom w:val="single" w:color="DDD0C8" w:sz="1"/>
              <w:right w:val="none"/>
            </w:tcBorders>
            <w:shd w:fill="F8F0EB" w:val="clear"/>
            <w:tcMar>
              <w:top w:type="dxa" w:w="60"/>
              <w:left w:type="dxa" w:w="120"/>
              <w:bottom w:type="dxa" w:w="60"/>
              <w:right w:type="dxa" w:w="120"/>
            </w:tcMar>
          </w:tcPr>
          <w:p>
            <w:r>
              <w:rPr>
                <w:rFonts w:ascii="Calibri"/>
                <w:color w:val="000000"/>
                <w:sz w:val="21"/>
                <w:szCs w:val="21"/>
              </w:rPr>
              <w:t xml:space="preserve">$19,500</w:t>
            </w:r>
          </w:p>
        </w:tc>
        <w:tc>
          <w:tcPr>
            <w:tcW w:type="pct" w:w="16%"/>
            <w:tcBorders>
              <w:top w:val="none"/>
              <w:left w:val="none"/>
              <w:bottom w:val="single" w:color="DDD0C8" w:sz="1"/>
              <w:right w:val="none"/>
            </w:tcBorders>
            <w:shd w:fill="F8F0EB" w:val="clear"/>
            <w:tcMar>
              <w:top w:type="dxa" w:w="60"/>
              <w:left w:type="dxa" w:w="120"/>
              <w:bottom w:type="dxa" w:w="60"/>
              <w:right w:type="dxa" w:w="120"/>
            </w:tcMar>
          </w:tcPr>
          <w:p>
            <w:r>
              <w:rPr>
                <w:rFonts w:ascii="Calibri"/>
                <w:color w:val="000000"/>
                <w:sz w:val="21"/>
                <w:szCs w:val="21"/>
              </w:rPr>
              <w:t xml:space="preserve">-</w:t>
            </w:r>
          </w:p>
        </w:tc>
      </w:tr>
      <w:tr>
        <w:trPr>
          <w:cantSplit/>
        </w:trPr>
        <w:tc>
          <w:tcPr>
            <w:tcW w:type="pct" w:w="16%"/>
            <w:tcBorders>
              <w:top w:val="none"/>
              <w:left w:val="none"/>
              <w:bottom w:val="single" w:color="DDD0C8" w:sz="1"/>
              <w:right w:val="none"/>
            </w:tcBorders>
            <w:shd w:fill="FFFFFF" w:val="clear"/>
            <w:tcMar>
              <w:top w:type="dxa" w:w="60"/>
              <w:left w:type="dxa" w:w="120"/>
              <w:bottom w:type="dxa" w:w="60"/>
              <w:right w:type="dxa" w:w="120"/>
            </w:tcMar>
          </w:tcPr>
          <w:p>
            <w:r>
              <w:rPr>
                <w:rFonts w:ascii="Calibri"/>
                <w:color w:val="000000"/>
                <w:sz w:val="21"/>
                <w:szCs w:val="21"/>
              </w:rPr>
              <w:t xml:space="preserve">Total Phase</w:t>
            </w:r>
          </w:p>
        </w:tc>
        <w:tc>
          <w:tcPr>
            <w:tcW w:type="pct" w:w="16%"/>
            <w:tcBorders>
              <w:top w:val="none"/>
              <w:left w:val="none"/>
              <w:bottom w:val="single" w:color="DDD0C8" w:sz="1"/>
              <w:right w:val="none"/>
            </w:tcBorders>
            <w:shd w:fill="FFFFFF" w:val="clear"/>
            <w:tcMar>
              <w:top w:type="dxa" w:w="60"/>
              <w:left w:type="dxa" w:w="120"/>
              <w:bottom w:type="dxa" w:w="60"/>
              <w:right w:type="dxa" w:w="120"/>
            </w:tcMar>
          </w:tcPr>
          <w:p>
            <w:r>
              <w:rPr>
                <w:rFonts w:ascii="Calibri"/>
                <w:color w:val="000000"/>
                <w:sz w:val="21"/>
                <w:szCs w:val="21"/>
              </w:rPr>
              <w:t xml:space="preserve">$24,000</w:t>
            </w:r>
          </w:p>
        </w:tc>
        <w:tc>
          <w:tcPr>
            <w:tcW w:type="pct" w:w="16%"/>
            <w:tcBorders>
              <w:top w:val="none"/>
              <w:left w:val="none"/>
              <w:bottom w:val="single" w:color="DDD0C8" w:sz="1"/>
              <w:right w:val="none"/>
            </w:tcBorders>
            <w:shd w:fill="FFFFFF" w:val="clear"/>
            <w:tcMar>
              <w:top w:type="dxa" w:w="60"/>
              <w:left w:type="dxa" w:w="120"/>
              <w:bottom w:type="dxa" w:w="60"/>
              <w:right w:type="dxa" w:w="120"/>
            </w:tcMar>
          </w:tcPr>
          <w:p>
            <w:r>
              <w:rPr>
                <w:rFonts w:ascii="Calibri"/>
                <w:color w:val="000000"/>
                <w:sz w:val="21"/>
                <w:szCs w:val="21"/>
              </w:rPr>
              <w:t xml:space="preserve">$42,900</w:t>
            </w:r>
          </w:p>
        </w:tc>
        <w:tc>
          <w:tcPr>
            <w:tcW w:type="pct" w:w="16%"/>
            <w:tcBorders>
              <w:top w:val="none"/>
              <w:left w:val="none"/>
              <w:bottom w:val="single" w:color="DDD0C8" w:sz="1"/>
              <w:right w:val="none"/>
            </w:tcBorders>
            <w:shd w:fill="FFFFFF" w:val="clear"/>
            <w:tcMar>
              <w:top w:type="dxa" w:w="60"/>
              <w:left w:type="dxa" w:w="120"/>
              <w:bottom w:type="dxa" w:w="60"/>
              <w:right w:type="dxa" w:w="120"/>
            </w:tcMar>
          </w:tcPr>
          <w:p>
            <w:r>
              <w:rPr>
                <w:rFonts w:ascii="Calibri"/>
                <w:color w:val="000000"/>
                <w:sz w:val="21"/>
                <w:szCs w:val="21"/>
              </w:rPr>
              <w:t xml:space="preserve">$52,500</w:t>
            </w:r>
          </w:p>
        </w:tc>
        <w:tc>
          <w:tcPr>
            <w:tcW w:type="pct" w:w="16%"/>
            <w:tcBorders>
              <w:top w:val="none"/>
              <w:left w:val="none"/>
              <w:bottom w:val="single" w:color="DDD0C8" w:sz="1"/>
              <w:right w:val="none"/>
            </w:tcBorders>
            <w:shd w:fill="FFFFFF" w:val="clear"/>
            <w:tcMar>
              <w:top w:type="dxa" w:w="60"/>
              <w:left w:type="dxa" w:w="120"/>
              <w:bottom w:type="dxa" w:w="60"/>
              <w:right w:type="dxa" w:w="120"/>
            </w:tcMar>
          </w:tcPr>
          <w:p>
            <w:r>
              <w:rPr>
                <w:rFonts w:ascii="Calibri"/>
                <w:color w:val="000000"/>
                <w:sz w:val="21"/>
                <w:szCs w:val="21"/>
              </w:rPr>
              <w:t xml:space="preserve">$58,500</w:t>
            </w:r>
          </w:p>
        </w:tc>
        <w:tc>
          <w:tcPr>
            <w:tcW w:type="pct" w:w="16%"/>
            <w:tcBorders>
              <w:top w:val="none"/>
              <w:left w:val="none"/>
              <w:bottom w:val="single" w:color="DDD0C8" w:sz="1"/>
              <w:right w:val="none"/>
            </w:tcBorders>
            <w:shd w:fill="FFFFFF" w:val="clear"/>
            <w:tcMar>
              <w:top w:type="dxa" w:w="60"/>
              <w:left w:type="dxa" w:w="120"/>
              <w:bottom w:type="dxa" w:w="60"/>
              <w:right w:type="dxa" w:w="120"/>
            </w:tcMar>
          </w:tcPr>
          <w:p>
            <w:r>
              <w:rPr>
                <w:rFonts w:ascii="Calibri"/>
                <w:color w:val="000000"/>
                <w:sz w:val="21"/>
                <w:szCs w:val="21"/>
              </w:rPr>
              <w:t xml:space="preserve">$177,900</w:t>
            </w:r>
          </w:p>
        </w:tc>
      </w:tr>
    </w:tbl>
    <w:p>
      <w:pPr>
        <w:spacing w:after="60" w:before="60"/>
      </w:pPr>
    </w:p>
    <w:p>
      <w:pPr>
        <w:spacing w:after="120" w:line="312"/>
        <w:ind w:firstLine="480"/>
        <w:jc w:val="both"/>
      </w:pPr>
      <w:r>
        <w:rPr>
          <w:rFonts w:ascii="Times New Roman"/>
          <w:color w:val="000000"/>
          <w:sz w:val="24"/>
          <w:szCs w:val="24"/>
        </w:rPr>
        <w:t xml:space="preserve">This budget represents a growth-stage investment typical for a SaaS platform transitioning from product-market fit validation to scalable customer acquisition. The expected return on this investment, based on industry benchmarks for B2B SaaS marketing, is a 3-5x marketing-sourced revenue multiple within the first year, meaning for every dollar spent on marketing, three to five dollars in annual recurring revenue should be generated by the end of the 12-month period. The budget should be reviewed quarterly and adjusted based on actual performance data and the evolving competitive landscape.</w:t>
      </w:r>
    </w:p>
    <w:p>
      <w:pPr>
        <w:pStyle w:val="Heading1"/>
        <w:spacing w:after="160" w:before="360" w:line="312"/>
      </w:pPr>
      <w:bookmarkStart w:id="100047" w:name="_Toc100047"/>
      <w:r>
        <w:rPr>
          <w:rFonts w:ascii="Times New Roman"/>
          <w:b/>
          <w:bCs/>
          <w:color w:val="0B1220"/>
          <w:sz w:val="32"/>
          <w:szCs w:val="32"/>
        </w:rPr>
        <w:t xml:space="preserve">10. Risk Analysis &amp; Mitigation</w:t>
      </w:r>
      <w:bookmarkEnd w:id="100047"/>
    </w:p>
    <w:p>
      <w:pPr>
        <w:keepNext/>
        <w:spacing w:after="80" w:before="200" w:line="312"/>
      </w:pPr>
      <w:r>
        <w:rPr>
          <w:rFonts w:ascii="Times New Roman"/>
          <w:b/>
          <w:bCs/>
          <w:color w:val="506070"/>
          <w:sz w:val="21"/>
          <w:szCs w:val="21"/>
        </w:rPr>
        <w:t xml:space="preserve">Table 11: Risk Assessment Matrix</w:t>
      </w:r>
    </w:p>
    <w:tbl>
      <w:tblPr>
        <w:tblW w:type="pct" w:w="100%"/>
        <w:tblBorders>
          <w:top w:val="single" w:color="D4875A" w:sz="2"/>
          <w:left w:val="none"/>
          <w:bottom w:val="single" w:color="D4875A" w:sz="2"/>
          <w:right w:val="none"/>
          <w:insideH w:val="single" w:color="DDD0C8" w:sz="1"/>
          <w:insideV w:val="none"/>
        </w:tblBorders>
        <w:tblLayout w:type="fixed"/>
      </w:tblPr>
      <w:tblGrid>
        <w:gridCol w:w="100"/>
        <w:gridCol w:w="100"/>
        <w:gridCol w:w="100"/>
        <w:gridCol w:w="100"/>
      </w:tblGrid>
      <w:tr>
        <w:trPr>
          <w:cantSplit/>
          <w:tblHeader/>
        </w:trPr>
        <w:tc>
          <w:tcPr>
            <w:tcW w:type="pct" w:w="25%"/>
            <w:tcBorders>
              <w:top w:val="none"/>
              <w:left w:val="none"/>
              <w:bottom w:val="single" w:color="D4875A" w:sz="2"/>
              <w:right w:val="none"/>
            </w:tcBorders>
            <w:shd w:fill="D4875A" w:val="clear"/>
            <w:tcMar>
              <w:top w:type="dxa" w:w="60"/>
              <w:left w:type="dxa" w:w="120"/>
              <w:bottom w:type="dxa" w:w="60"/>
              <w:right w:type="dxa" w:w="120"/>
            </w:tcMar>
          </w:tcPr>
          <w:p>
            <w:r>
              <w:rPr>
                <w:rFonts w:ascii="Calibri"/>
                <w:b/>
                <w:bCs/>
                <w:color w:val="FFFFFF"/>
                <w:sz w:val="21"/>
                <w:szCs w:val="21"/>
              </w:rPr>
              <w:t xml:space="preserve">Risk</w:t>
            </w:r>
          </w:p>
        </w:tc>
        <w:tc>
          <w:tcPr>
            <w:tcW w:type="pct" w:w="25%"/>
            <w:tcBorders>
              <w:top w:val="none"/>
              <w:left w:val="none"/>
              <w:bottom w:val="single" w:color="D4875A" w:sz="2"/>
              <w:right w:val="none"/>
            </w:tcBorders>
            <w:shd w:fill="D4875A" w:val="clear"/>
            <w:tcMar>
              <w:top w:type="dxa" w:w="60"/>
              <w:left w:type="dxa" w:w="120"/>
              <w:bottom w:type="dxa" w:w="60"/>
              <w:right w:type="dxa" w:w="120"/>
            </w:tcMar>
          </w:tcPr>
          <w:p>
            <w:r>
              <w:rPr>
                <w:rFonts w:ascii="Calibri"/>
                <w:b/>
                <w:bCs/>
                <w:color w:val="FFFFFF"/>
                <w:sz w:val="21"/>
                <w:szCs w:val="21"/>
              </w:rPr>
              <w:t xml:space="preserve">Probability</w:t>
            </w:r>
          </w:p>
        </w:tc>
        <w:tc>
          <w:tcPr>
            <w:tcW w:type="pct" w:w="25%"/>
            <w:tcBorders>
              <w:top w:val="none"/>
              <w:left w:val="none"/>
              <w:bottom w:val="single" w:color="D4875A" w:sz="2"/>
              <w:right w:val="none"/>
            </w:tcBorders>
            <w:shd w:fill="D4875A" w:val="clear"/>
            <w:tcMar>
              <w:top w:type="dxa" w:w="60"/>
              <w:left w:type="dxa" w:w="120"/>
              <w:bottom w:type="dxa" w:w="60"/>
              <w:right w:type="dxa" w:w="120"/>
            </w:tcMar>
          </w:tcPr>
          <w:p>
            <w:r>
              <w:rPr>
                <w:rFonts w:ascii="Calibri"/>
                <w:b/>
                <w:bCs/>
                <w:color w:val="FFFFFF"/>
                <w:sz w:val="21"/>
                <w:szCs w:val="21"/>
              </w:rPr>
              <w:t xml:space="preserve">Impact</w:t>
            </w:r>
          </w:p>
        </w:tc>
        <w:tc>
          <w:tcPr>
            <w:tcW w:type="pct" w:w="25%"/>
            <w:tcBorders>
              <w:top w:val="none"/>
              <w:left w:val="none"/>
              <w:bottom w:val="single" w:color="D4875A" w:sz="2"/>
              <w:right w:val="none"/>
            </w:tcBorders>
            <w:shd w:fill="D4875A" w:val="clear"/>
            <w:tcMar>
              <w:top w:type="dxa" w:w="60"/>
              <w:left w:type="dxa" w:w="120"/>
              <w:bottom w:type="dxa" w:w="60"/>
              <w:right w:type="dxa" w:w="120"/>
            </w:tcMar>
          </w:tcPr>
          <w:p>
            <w:r>
              <w:rPr>
                <w:rFonts w:ascii="Calibri"/>
                <w:b/>
                <w:bCs/>
                <w:color w:val="FFFFFF"/>
                <w:sz w:val="21"/>
                <w:szCs w:val="21"/>
              </w:rPr>
              <w:t xml:space="preserve">Mitigation Strategy</w:t>
            </w:r>
          </w:p>
        </w:tc>
      </w:tr>
      <w:tr>
        <w:trPr>
          <w:cantSplit/>
        </w:trPr>
        <w:tc>
          <w:tcPr>
            <w:tcW w:type="pct" w:w="25%"/>
            <w:tcBorders>
              <w:top w:val="none"/>
              <w:left w:val="none"/>
              <w:bottom w:val="single" w:color="DDD0C8" w:sz="1"/>
              <w:right w:val="none"/>
            </w:tcBorders>
            <w:shd w:fill="F8F0EB" w:val="clear"/>
            <w:tcMar>
              <w:top w:type="dxa" w:w="60"/>
              <w:left w:type="dxa" w:w="120"/>
              <w:bottom w:type="dxa" w:w="60"/>
              <w:right w:type="dxa" w:w="120"/>
            </w:tcMar>
          </w:tcPr>
          <w:p>
            <w:r>
              <w:rPr>
                <w:rFonts w:ascii="Calibri"/>
                <w:color w:val="000000"/>
                <w:sz w:val="21"/>
                <w:szCs w:val="21"/>
              </w:rPr>
              <w:t xml:space="preserve">High CPA on paid channels</w:t>
            </w:r>
          </w:p>
        </w:tc>
        <w:tc>
          <w:tcPr>
            <w:tcW w:type="pct" w:w="25%"/>
            <w:tcBorders>
              <w:top w:val="none"/>
              <w:left w:val="none"/>
              <w:bottom w:val="single" w:color="DDD0C8" w:sz="1"/>
              <w:right w:val="none"/>
            </w:tcBorders>
            <w:shd w:fill="F8F0EB" w:val="clear"/>
            <w:tcMar>
              <w:top w:type="dxa" w:w="60"/>
              <w:left w:type="dxa" w:w="120"/>
              <w:bottom w:type="dxa" w:w="60"/>
              <w:right w:type="dxa" w:w="120"/>
            </w:tcMar>
          </w:tcPr>
          <w:p>
            <w:r>
              <w:rPr>
                <w:rFonts w:ascii="Calibri"/>
                <w:color w:val="000000"/>
                <w:sz w:val="21"/>
                <w:szCs w:val="21"/>
              </w:rPr>
              <w:t xml:space="preserve">Medium</w:t>
            </w:r>
          </w:p>
        </w:tc>
        <w:tc>
          <w:tcPr>
            <w:tcW w:type="pct" w:w="25%"/>
            <w:tcBorders>
              <w:top w:val="none"/>
              <w:left w:val="none"/>
              <w:bottom w:val="single" w:color="DDD0C8" w:sz="1"/>
              <w:right w:val="none"/>
            </w:tcBorders>
            <w:shd w:fill="F8F0EB" w:val="clear"/>
            <w:tcMar>
              <w:top w:type="dxa" w:w="60"/>
              <w:left w:type="dxa" w:w="120"/>
              <w:bottom w:type="dxa" w:w="60"/>
              <w:right w:type="dxa" w:w="120"/>
            </w:tcMar>
          </w:tcPr>
          <w:p>
            <w:r>
              <w:rPr>
                <w:rFonts w:ascii="Calibri"/>
                <w:color w:val="000000"/>
                <w:sz w:val="21"/>
                <w:szCs w:val="21"/>
              </w:rPr>
              <w:t xml:space="preserve">High</w:t>
            </w:r>
          </w:p>
        </w:tc>
        <w:tc>
          <w:tcPr>
            <w:tcW w:type="pct" w:w="25%"/>
            <w:tcBorders>
              <w:top w:val="none"/>
              <w:left w:val="none"/>
              <w:bottom w:val="single" w:color="DDD0C8" w:sz="1"/>
              <w:right w:val="none"/>
            </w:tcBorders>
            <w:shd w:fill="F8F0EB" w:val="clear"/>
            <w:tcMar>
              <w:top w:type="dxa" w:w="60"/>
              <w:left w:type="dxa" w:w="120"/>
              <w:bottom w:type="dxa" w:w="60"/>
              <w:right w:type="dxa" w:w="120"/>
            </w:tcMar>
          </w:tcPr>
          <w:p>
            <w:r>
              <w:rPr>
                <w:rFonts w:ascii="Calibri"/>
                <w:color w:val="000000"/>
                <w:sz w:val="21"/>
                <w:szCs w:val="21"/>
              </w:rPr>
              <w:t xml:space="preserve">Diversify channels, improve organic, A/B test relentlessly</w:t>
            </w:r>
          </w:p>
        </w:tc>
      </w:tr>
      <w:tr>
        <w:trPr>
          <w:cantSplit/>
        </w:trPr>
        <w:tc>
          <w:tcPr>
            <w:tcW w:type="pct" w:w="25%"/>
            <w:tcBorders>
              <w:top w:val="none"/>
              <w:left w:val="none"/>
              <w:bottom w:val="single" w:color="DDD0C8" w:sz="1"/>
              <w:right w:val="none"/>
            </w:tcBorders>
            <w:shd w:fill="FFFFFF" w:val="clear"/>
            <w:tcMar>
              <w:top w:type="dxa" w:w="60"/>
              <w:left w:type="dxa" w:w="120"/>
              <w:bottom w:type="dxa" w:w="60"/>
              <w:right w:type="dxa" w:w="120"/>
            </w:tcMar>
          </w:tcPr>
          <w:p>
            <w:r>
              <w:rPr>
                <w:rFonts w:ascii="Calibri"/>
                <w:color w:val="000000"/>
                <w:sz w:val="21"/>
                <w:szCs w:val="21"/>
              </w:rPr>
              <w:t xml:space="preserve">SEO algorithm changes</w:t>
            </w:r>
          </w:p>
        </w:tc>
        <w:tc>
          <w:tcPr>
            <w:tcW w:type="pct" w:w="25%"/>
            <w:tcBorders>
              <w:top w:val="none"/>
              <w:left w:val="none"/>
              <w:bottom w:val="single" w:color="DDD0C8" w:sz="1"/>
              <w:right w:val="none"/>
            </w:tcBorders>
            <w:shd w:fill="FFFFFF" w:val="clear"/>
            <w:tcMar>
              <w:top w:type="dxa" w:w="60"/>
              <w:left w:type="dxa" w:w="120"/>
              <w:bottom w:type="dxa" w:w="60"/>
              <w:right w:type="dxa" w:w="120"/>
            </w:tcMar>
          </w:tcPr>
          <w:p>
            <w:r>
              <w:rPr>
                <w:rFonts w:ascii="Calibri"/>
                <w:color w:val="000000"/>
                <w:sz w:val="21"/>
                <w:szCs w:val="21"/>
              </w:rPr>
              <w:t xml:space="preserve">Medium</w:t>
            </w:r>
          </w:p>
        </w:tc>
        <w:tc>
          <w:tcPr>
            <w:tcW w:type="pct" w:w="25%"/>
            <w:tcBorders>
              <w:top w:val="none"/>
              <w:left w:val="none"/>
              <w:bottom w:val="single" w:color="DDD0C8" w:sz="1"/>
              <w:right w:val="none"/>
            </w:tcBorders>
            <w:shd w:fill="FFFFFF" w:val="clear"/>
            <w:tcMar>
              <w:top w:type="dxa" w:w="60"/>
              <w:left w:type="dxa" w:w="120"/>
              <w:bottom w:type="dxa" w:w="60"/>
              <w:right w:type="dxa" w:w="120"/>
            </w:tcMar>
          </w:tcPr>
          <w:p>
            <w:r>
              <w:rPr>
                <w:rFonts w:ascii="Calibri"/>
                <w:color w:val="000000"/>
                <w:sz w:val="21"/>
                <w:szCs w:val="21"/>
              </w:rPr>
              <w:t xml:space="preserve">Medium</w:t>
            </w:r>
          </w:p>
        </w:tc>
        <w:tc>
          <w:tcPr>
            <w:tcW w:type="pct" w:w="25%"/>
            <w:tcBorders>
              <w:top w:val="none"/>
              <w:left w:val="none"/>
              <w:bottom w:val="single" w:color="DDD0C8" w:sz="1"/>
              <w:right w:val="none"/>
            </w:tcBorders>
            <w:shd w:fill="FFFFFF" w:val="clear"/>
            <w:tcMar>
              <w:top w:type="dxa" w:w="60"/>
              <w:left w:type="dxa" w:w="120"/>
              <w:bottom w:type="dxa" w:w="60"/>
              <w:right w:type="dxa" w:w="120"/>
            </w:tcMar>
          </w:tcPr>
          <w:p>
            <w:r>
              <w:rPr>
                <w:rFonts w:ascii="Calibri"/>
                <w:color w:val="000000"/>
                <w:sz w:val="21"/>
                <w:szCs w:val="21"/>
              </w:rPr>
              <w:t xml:space="preserve">Diversify traffic sources, build brand search demand</w:t>
            </w:r>
          </w:p>
        </w:tc>
      </w:tr>
      <w:tr>
        <w:trPr>
          <w:cantSplit/>
        </w:trPr>
        <w:tc>
          <w:tcPr>
            <w:tcW w:type="pct" w:w="25%"/>
            <w:tcBorders>
              <w:top w:val="none"/>
              <w:left w:val="none"/>
              <w:bottom w:val="single" w:color="DDD0C8" w:sz="1"/>
              <w:right w:val="none"/>
            </w:tcBorders>
            <w:shd w:fill="F8F0EB" w:val="clear"/>
            <w:tcMar>
              <w:top w:type="dxa" w:w="60"/>
              <w:left w:type="dxa" w:w="120"/>
              <w:bottom w:type="dxa" w:w="60"/>
              <w:right w:type="dxa" w:w="120"/>
            </w:tcMar>
          </w:tcPr>
          <w:p>
            <w:r>
              <w:rPr>
                <w:rFonts w:ascii="Calibri"/>
                <w:color w:val="000000"/>
                <w:sz w:val="21"/>
                <w:szCs w:val="21"/>
              </w:rPr>
              <w:t xml:space="preserve">Competitive response from HuggingFace</w:t>
            </w:r>
          </w:p>
        </w:tc>
        <w:tc>
          <w:tcPr>
            <w:tcW w:type="pct" w:w="25%"/>
            <w:tcBorders>
              <w:top w:val="none"/>
              <w:left w:val="none"/>
              <w:bottom w:val="single" w:color="DDD0C8" w:sz="1"/>
              <w:right w:val="none"/>
            </w:tcBorders>
            <w:shd w:fill="F8F0EB" w:val="clear"/>
            <w:tcMar>
              <w:top w:type="dxa" w:w="60"/>
              <w:left w:type="dxa" w:w="120"/>
              <w:bottom w:type="dxa" w:w="60"/>
              <w:right w:type="dxa" w:w="120"/>
            </w:tcMar>
          </w:tcPr>
          <w:p>
            <w:r>
              <w:rPr>
                <w:rFonts w:ascii="Calibri"/>
                <w:color w:val="000000"/>
                <w:sz w:val="21"/>
                <w:szCs w:val="21"/>
              </w:rPr>
              <w:t xml:space="preserve">High</w:t>
            </w:r>
          </w:p>
        </w:tc>
        <w:tc>
          <w:tcPr>
            <w:tcW w:type="pct" w:w="25%"/>
            <w:tcBorders>
              <w:top w:val="none"/>
              <w:left w:val="none"/>
              <w:bottom w:val="single" w:color="DDD0C8" w:sz="1"/>
              <w:right w:val="none"/>
            </w:tcBorders>
            <w:shd w:fill="F8F0EB" w:val="clear"/>
            <w:tcMar>
              <w:top w:type="dxa" w:w="60"/>
              <w:left w:type="dxa" w:w="120"/>
              <w:bottom w:type="dxa" w:w="60"/>
              <w:right w:type="dxa" w:w="120"/>
            </w:tcMar>
          </w:tcPr>
          <w:p>
            <w:r>
              <w:rPr>
                <w:rFonts w:ascii="Calibri"/>
                <w:color w:val="000000"/>
                <w:sz w:val="21"/>
                <w:szCs w:val="21"/>
              </w:rPr>
              <w:t xml:space="preserve">High</w:t>
            </w:r>
          </w:p>
        </w:tc>
        <w:tc>
          <w:tcPr>
            <w:tcW w:type="pct" w:w="25%"/>
            <w:tcBorders>
              <w:top w:val="none"/>
              <w:left w:val="none"/>
              <w:bottom w:val="single" w:color="DDD0C8" w:sz="1"/>
              <w:right w:val="none"/>
            </w:tcBorders>
            <w:shd w:fill="F8F0EB" w:val="clear"/>
            <w:tcMar>
              <w:top w:type="dxa" w:w="60"/>
              <w:left w:type="dxa" w:w="120"/>
              <w:bottom w:type="dxa" w:w="60"/>
              <w:right w:type="dxa" w:w="120"/>
            </w:tcMar>
          </w:tcPr>
          <w:p>
            <w:r>
              <w:rPr>
                <w:rFonts w:ascii="Calibri"/>
                <w:color w:val="000000"/>
                <w:sz w:val="21"/>
                <w:szCs w:val="21"/>
              </w:rPr>
              <w:t xml:space="preserve">Differentiate on integration depth, accelerate feature velocity</w:t>
            </w:r>
          </w:p>
        </w:tc>
      </w:tr>
      <w:tr>
        <w:trPr>
          <w:cantSplit/>
        </w:trPr>
        <w:tc>
          <w:tcPr>
            <w:tcW w:type="pct" w:w="25%"/>
            <w:tcBorders>
              <w:top w:val="none"/>
              <w:left w:val="none"/>
              <w:bottom w:val="single" w:color="DDD0C8" w:sz="1"/>
              <w:right w:val="none"/>
            </w:tcBorders>
            <w:shd w:fill="FFFFFF" w:val="clear"/>
            <w:tcMar>
              <w:top w:type="dxa" w:w="60"/>
              <w:left w:type="dxa" w:w="120"/>
              <w:bottom w:type="dxa" w:w="60"/>
              <w:right w:type="dxa" w:w="120"/>
            </w:tcMar>
          </w:tcPr>
          <w:p>
            <w:r>
              <w:rPr>
                <w:rFonts w:ascii="Calibri"/>
                <w:color w:val="000000"/>
                <w:sz w:val="21"/>
                <w:szCs w:val="21"/>
              </w:rPr>
              <w:t xml:space="preserve">Low email engagement rates</w:t>
            </w:r>
          </w:p>
        </w:tc>
        <w:tc>
          <w:tcPr>
            <w:tcW w:type="pct" w:w="25%"/>
            <w:tcBorders>
              <w:top w:val="none"/>
              <w:left w:val="none"/>
              <w:bottom w:val="single" w:color="DDD0C8" w:sz="1"/>
              <w:right w:val="none"/>
            </w:tcBorders>
            <w:shd w:fill="FFFFFF" w:val="clear"/>
            <w:tcMar>
              <w:top w:type="dxa" w:w="60"/>
              <w:left w:type="dxa" w:w="120"/>
              <w:bottom w:type="dxa" w:w="60"/>
              <w:right w:type="dxa" w:w="120"/>
            </w:tcMar>
          </w:tcPr>
          <w:p>
            <w:r>
              <w:rPr>
                <w:rFonts w:ascii="Calibri"/>
                <w:color w:val="000000"/>
                <w:sz w:val="21"/>
                <w:szCs w:val="21"/>
              </w:rPr>
              <w:t xml:space="preserve">Medium</w:t>
            </w:r>
          </w:p>
        </w:tc>
        <w:tc>
          <w:tcPr>
            <w:tcW w:type="pct" w:w="25%"/>
            <w:tcBorders>
              <w:top w:val="none"/>
              <w:left w:val="none"/>
              <w:bottom w:val="single" w:color="DDD0C8" w:sz="1"/>
              <w:right w:val="none"/>
            </w:tcBorders>
            <w:shd w:fill="FFFFFF" w:val="clear"/>
            <w:tcMar>
              <w:top w:type="dxa" w:w="60"/>
              <w:left w:type="dxa" w:w="120"/>
              <w:bottom w:type="dxa" w:w="60"/>
              <w:right w:type="dxa" w:w="120"/>
            </w:tcMar>
          </w:tcPr>
          <w:p>
            <w:r>
              <w:rPr>
                <w:rFonts w:ascii="Calibri"/>
                <w:color w:val="000000"/>
                <w:sz w:val="21"/>
                <w:szCs w:val="21"/>
              </w:rPr>
              <w:t xml:space="preserve">Medium</w:t>
            </w:r>
          </w:p>
        </w:tc>
        <w:tc>
          <w:tcPr>
            <w:tcW w:type="pct" w:w="25%"/>
            <w:tcBorders>
              <w:top w:val="none"/>
              <w:left w:val="none"/>
              <w:bottom w:val="single" w:color="DDD0C8" w:sz="1"/>
              <w:right w:val="none"/>
            </w:tcBorders>
            <w:shd w:fill="FFFFFF" w:val="clear"/>
            <w:tcMar>
              <w:top w:type="dxa" w:w="60"/>
              <w:left w:type="dxa" w:w="120"/>
              <w:bottom w:type="dxa" w:w="60"/>
              <w:right w:type="dxa" w:w="120"/>
            </w:tcMar>
          </w:tcPr>
          <w:p>
            <w:r>
              <w:rPr>
                <w:rFonts w:ascii="Calibri"/>
                <w:color w:val="000000"/>
                <w:sz w:val="21"/>
                <w:szCs w:val="21"/>
              </w:rPr>
              <w:t xml:space="preserve">Personalize aggressively, test frequency, segment carefully</w:t>
            </w:r>
          </w:p>
        </w:tc>
      </w:tr>
      <w:tr>
        <w:trPr>
          <w:cantSplit/>
        </w:trPr>
        <w:tc>
          <w:tcPr>
            <w:tcW w:type="pct" w:w="25%"/>
            <w:tcBorders>
              <w:top w:val="none"/>
              <w:left w:val="none"/>
              <w:bottom w:val="single" w:color="DDD0C8" w:sz="1"/>
              <w:right w:val="none"/>
            </w:tcBorders>
            <w:shd w:fill="F8F0EB" w:val="clear"/>
            <w:tcMar>
              <w:top w:type="dxa" w:w="60"/>
              <w:left w:type="dxa" w:w="120"/>
              <w:bottom w:type="dxa" w:w="60"/>
              <w:right w:type="dxa" w:w="120"/>
            </w:tcMar>
          </w:tcPr>
          <w:p>
            <w:r>
              <w:rPr>
                <w:rFonts w:ascii="Calibri"/>
                <w:color w:val="000000"/>
                <w:sz w:val="21"/>
                <w:szCs w:val="21"/>
              </w:rPr>
              <w:t xml:space="preserve">ABM program underperformance</w:t>
            </w:r>
          </w:p>
        </w:tc>
        <w:tc>
          <w:tcPr>
            <w:tcW w:type="pct" w:w="25%"/>
            <w:tcBorders>
              <w:top w:val="none"/>
              <w:left w:val="none"/>
              <w:bottom w:val="single" w:color="DDD0C8" w:sz="1"/>
              <w:right w:val="none"/>
            </w:tcBorders>
            <w:shd w:fill="F8F0EB" w:val="clear"/>
            <w:tcMar>
              <w:top w:type="dxa" w:w="60"/>
              <w:left w:type="dxa" w:w="120"/>
              <w:bottom w:type="dxa" w:w="60"/>
              <w:right w:type="dxa" w:w="120"/>
            </w:tcMar>
          </w:tcPr>
          <w:p>
            <w:r>
              <w:rPr>
                <w:rFonts w:ascii="Calibri"/>
                <w:color w:val="000000"/>
                <w:sz w:val="21"/>
                <w:szCs w:val="21"/>
              </w:rPr>
              <w:t xml:space="preserve">Medium</w:t>
            </w:r>
          </w:p>
        </w:tc>
        <w:tc>
          <w:tcPr>
            <w:tcW w:type="pct" w:w="25%"/>
            <w:tcBorders>
              <w:top w:val="none"/>
              <w:left w:val="none"/>
              <w:bottom w:val="single" w:color="DDD0C8" w:sz="1"/>
              <w:right w:val="none"/>
            </w:tcBorders>
            <w:shd w:fill="F8F0EB" w:val="clear"/>
            <w:tcMar>
              <w:top w:type="dxa" w:w="60"/>
              <w:left w:type="dxa" w:w="120"/>
              <w:bottom w:type="dxa" w:w="60"/>
              <w:right w:type="dxa" w:w="120"/>
            </w:tcMar>
          </w:tcPr>
          <w:p>
            <w:r>
              <w:rPr>
                <w:rFonts w:ascii="Calibri"/>
                <w:color w:val="000000"/>
                <w:sz w:val="21"/>
                <w:szCs w:val="21"/>
              </w:rPr>
              <w:t xml:space="preserve">Medium</w:t>
            </w:r>
          </w:p>
        </w:tc>
        <w:tc>
          <w:tcPr>
            <w:tcW w:type="pct" w:w="25%"/>
            <w:tcBorders>
              <w:top w:val="none"/>
              <w:left w:val="none"/>
              <w:bottom w:val="single" w:color="DDD0C8" w:sz="1"/>
              <w:right w:val="none"/>
            </w:tcBorders>
            <w:shd w:fill="F8F0EB" w:val="clear"/>
            <w:tcMar>
              <w:top w:type="dxa" w:w="60"/>
              <w:left w:type="dxa" w:w="120"/>
              <w:bottom w:type="dxa" w:w="60"/>
              <w:right w:type="dxa" w:w="120"/>
            </w:tcMar>
          </w:tcPr>
          <w:p>
            <w:r>
              <w:rPr>
                <w:rFonts w:ascii="Calibri"/>
                <w:color w:val="000000"/>
                <w:sz w:val="21"/>
                <w:szCs w:val="21"/>
              </w:rPr>
              <w:t xml:space="preserve">Refine target account criteria, improve personalization</w:t>
            </w:r>
          </w:p>
        </w:tc>
      </w:tr>
      <w:tr>
        <w:trPr>
          <w:cantSplit/>
        </w:trPr>
        <w:tc>
          <w:tcPr>
            <w:tcW w:type="pct" w:w="25%"/>
            <w:tcBorders>
              <w:top w:val="none"/>
              <w:left w:val="none"/>
              <w:bottom w:val="single" w:color="DDD0C8" w:sz="1"/>
              <w:right w:val="none"/>
            </w:tcBorders>
            <w:shd w:fill="FFFFFF" w:val="clear"/>
            <w:tcMar>
              <w:top w:type="dxa" w:w="60"/>
              <w:left w:type="dxa" w:w="120"/>
              <w:bottom w:type="dxa" w:w="60"/>
              <w:right w:type="dxa" w:w="120"/>
            </w:tcMar>
          </w:tcPr>
          <w:p>
            <w:r>
              <w:rPr>
                <w:rFonts w:ascii="Calibri"/>
                <w:color w:val="000000"/>
                <w:sz w:val="21"/>
                <w:szCs w:val="21"/>
              </w:rPr>
              <w:t xml:space="preserve">Content quality inconsistency</w:t>
            </w:r>
          </w:p>
        </w:tc>
        <w:tc>
          <w:tcPr>
            <w:tcW w:type="pct" w:w="25%"/>
            <w:tcBorders>
              <w:top w:val="none"/>
              <w:left w:val="none"/>
              <w:bottom w:val="single" w:color="DDD0C8" w:sz="1"/>
              <w:right w:val="none"/>
            </w:tcBorders>
            <w:shd w:fill="FFFFFF" w:val="clear"/>
            <w:tcMar>
              <w:top w:type="dxa" w:w="60"/>
              <w:left w:type="dxa" w:w="120"/>
              <w:bottom w:type="dxa" w:w="60"/>
              <w:right w:type="dxa" w:w="120"/>
            </w:tcMar>
          </w:tcPr>
          <w:p>
            <w:r>
              <w:rPr>
                <w:rFonts w:ascii="Calibri"/>
                <w:color w:val="000000"/>
                <w:sz w:val="21"/>
                <w:szCs w:val="21"/>
              </w:rPr>
              <w:t xml:space="preserve">Low</w:t>
            </w:r>
          </w:p>
        </w:tc>
        <w:tc>
          <w:tcPr>
            <w:tcW w:type="pct" w:w="25%"/>
            <w:tcBorders>
              <w:top w:val="none"/>
              <w:left w:val="none"/>
              <w:bottom w:val="single" w:color="DDD0C8" w:sz="1"/>
              <w:right w:val="none"/>
            </w:tcBorders>
            <w:shd w:fill="FFFFFF" w:val="clear"/>
            <w:tcMar>
              <w:top w:type="dxa" w:w="60"/>
              <w:left w:type="dxa" w:w="120"/>
              <w:bottom w:type="dxa" w:w="60"/>
              <w:right w:type="dxa" w:w="120"/>
            </w:tcMar>
          </w:tcPr>
          <w:p>
            <w:r>
              <w:rPr>
                <w:rFonts w:ascii="Calibri"/>
                <w:color w:val="000000"/>
                <w:sz w:val="21"/>
                <w:szCs w:val="21"/>
              </w:rPr>
              <w:t xml:space="preserve">Medium</w:t>
            </w:r>
          </w:p>
        </w:tc>
        <w:tc>
          <w:tcPr>
            <w:tcW w:type="pct" w:w="25%"/>
            <w:tcBorders>
              <w:top w:val="none"/>
              <w:left w:val="none"/>
              <w:bottom w:val="single" w:color="DDD0C8" w:sz="1"/>
              <w:right w:val="none"/>
            </w:tcBorders>
            <w:shd w:fill="FFFFFF" w:val="clear"/>
            <w:tcMar>
              <w:top w:type="dxa" w:w="60"/>
              <w:left w:type="dxa" w:w="120"/>
              <w:bottom w:type="dxa" w:w="60"/>
              <w:right w:type="dxa" w:w="120"/>
            </w:tcMar>
          </w:tcPr>
          <w:p>
            <w:r>
              <w:rPr>
                <w:rFonts w:ascii="Calibri"/>
                <w:color w:val="000000"/>
                <w:sz w:val="21"/>
                <w:szCs w:val="21"/>
              </w:rPr>
              <w:t xml:space="preserve">Hire dedicated content lead, establish editorial standards</w:t>
            </w:r>
          </w:p>
        </w:tc>
      </w:tr>
      <w:tr>
        <w:trPr>
          <w:cantSplit/>
        </w:trPr>
        <w:tc>
          <w:tcPr>
            <w:tcW w:type="pct" w:w="25%"/>
            <w:tcBorders>
              <w:top w:val="none"/>
              <w:left w:val="none"/>
              <w:bottom w:val="single" w:color="DDD0C8" w:sz="1"/>
              <w:right w:val="none"/>
            </w:tcBorders>
            <w:shd w:fill="F8F0EB" w:val="clear"/>
            <w:tcMar>
              <w:top w:type="dxa" w:w="60"/>
              <w:left w:type="dxa" w:w="120"/>
              <w:bottom w:type="dxa" w:w="60"/>
              <w:right w:type="dxa" w:w="120"/>
            </w:tcMar>
          </w:tcPr>
          <w:p>
            <w:r>
              <w:rPr>
                <w:rFonts w:ascii="Calibri"/>
                <w:color w:val="000000"/>
                <w:sz w:val="21"/>
                <w:szCs w:val="21"/>
              </w:rPr>
              <w:t xml:space="preserve">Budget constraints</w:t>
            </w:r>
          </w:p>
        </w:tc>
        <w:tc>
          <w:tcPr>
            <w:tcW w:type="pct" w:w="25%"/>
            <w:tcBorders>
              <w:top w:val="none"/>
              <w:left w:val="none"/>
              <w:bottom w:val="single" w:color="DDD0C8" w:sz="1"/>
              <w:right w:val="none"/>
            </w:tcBorders>
            <w:shd w:fill="F8F0EB" w:val="clear"/>
            <w:tcMar>
              <w:top w:type="dxa" w:w="60"/>
              <w:left w:type="dxa" w:w="120"/>
              <w:bottom w:type="dxa" w:w="60"/>
              <w:right w:type="dxa" w:w="120"/>
            </w:tcMar>
          </w:tcPr>
          <w:p>
            <w:r>
              <w:rPr>
                <w:rFonts w:ascii="Calibri"/>
                <w:color w:val="000000"/>
                <w:sz w:val="21"/>
                <w:szCs w:val="21"/>
              </w:rPr>
              <w:t xml:space="preserve">Medium</w:t>
            </w:r>
          </w:p>
        </w:tc>
        <w:tc>
          <w:tcPr>
            <w:tcW w:type="pct" w:w="25%"/>
            <w:tcBorders>
              <w:top w:val="none"/>
              <w:left w:val="none"/>
              <w:bottom w:val="single" w:color="DDD0C8" w:sz="1"/>
              <w:right w:val="none"/>
            </w:tcBorders>
            <w:shd w:fill="F8F0EB" w:val="clear"/>
            <w:tcMar>
              <w:top w:type="dxa" w:w="60"/>
              <w:left w:type="dxa" w:w="120"/>
              <w:bottom w:type="dxa" w:w="60"/>
              <w:right w:type="dxa" w:w="120"/>
            </w:tcMar>
          </w:tcPr>
          <w:p>
            <w:r>
              <w:rPr>
                <w:rFonts w:ascii="Calibri"/>
                <w:color w:val="000000"/>
                <w:sz w:val="21"/>
                <w:szCs w:val="21"/>
              </w:rPr>
              <w:t xml:space="preserve">High</w:t>
            </w:r>
          </w:p>
        </w:tc>
        <w:tc>
          <w:tcPr>
            <w:tcW w:type="pct" w:w="25%"/>
            <w:tcBorders>
              <w:top w:val="none"/>
              <w:left w:val="none"/>
              <w:bottom w:val="single" w:color="DDD0C8" w:sz="1"/>
              <w:right w:val="none"/>
            </w:tcBorders>
            <w:shd w:fill="F8F0EB" w:val="clear"/>
            <w:tcMar>
              <w:top w:type="dxa" w:w="60"/>
              <w:left w:type="dxa" w:w="120"/>
              <w:bottom w:type="dxa" w:w="60"/>
              <w:right w:type="dxa" w:w="120"/>
            </w:tcMar>
          </w:tcPr>
          <w:p>
            <w:r>
              <w:rPr>
                <w:rFonts w:ascii="Calibri"/>
                <w:color w:val="000000"/>
                <w:sz w:val="21"/>
                <w:szCs w:val="21"/>
              </w:rPr>
              <w:t xml:space="preserve">Prioritize highest-ROI channels, defer non-essential spending</w:t>
            </w:r>
          </w:p>
        </w:tc>
      </w:tr>
      <w:tr>
        <w:trPr>
          <w:cantSplit/>
        </w:trPr>
        <w:tc>
          <w:tcPr>
            <w:tcW w:type="pct" w:w="25%"/>
            <w:tcBorders>
              <w:top w:val="none"/>
              <w:left w:val="none"/>
              <w:bottom w:val="single" w:color="DDD0C8" w:sz="1"/>
              <w:right w:val="none"/>
            </w:tcBorders>
            <w:shd w:fill="FFFFFF" w:val="clear"/>
            <w:tcMar>
              <w:top w:type="dxa" w:w="60"/>
              <w:left w:type="dxa" w:w="120"/>
              <w:bottom w:type="dxa" w:w="60"/>
              <w:right w:type="dxa" w:w="120"/>
            </w:tcMar>
          </w:tcPr>
          <w:p>
            <w:r>
              <w:rPr>
                <w:rFonts w:ascii="Calibri"/>
                <w:color w:val="000000"/>
                <w:sz w:val="21"/>
                <w:szCs w:val="21"/>
              </w:rPr>
              <w:t xml:space="preserve">Team capacity limitations</w:t>
            </w:r>
          </w:p>
        </w:tc>
        <w:tc>
          <w:tcPr>
            <w:tcW w:type="pct" w:w="25%"/>
            <w:tcBorders>
              <w:top w:val="none"/>
              <w:left w:val="none"/>
              <w:bottom w:val="single" w:color="DDD0C8" w:sz="1"/>
              <w:right w:val="none"/>
            </w:tcBorders>
            <w:shd w:fill="FFFFFF" w:val="clear"/>
            <w:tcMar>
              <w:top w:type="dxa" w:w="60"/>
              <w:left w:type="dxa" w:w="120"/>
              <w:bottom w:type="dxa" w:w="60"/>
              <w:right w:type="dxa" w:w="120"/>
            </w:tcMar>
          </w:tcPr>
          <w:p>
            <w:r>
              <w:rPr>
                <w:rFonts w:ascii="Calibri"/>
                <w:color w:val="000000"/>
                <w:sz w:val="21"/>
                <w:szCs w:val="21"/>
              </w:rPr>
              <w:t xml:space="preserve">Medium</w:t>
            </w:r>
          </w:p>
        </w:tc>
        <w:tc>
          <w:tcPr>
            <w:tcW w:type="pct" w:w="25%"/>
            <w:tcBorders>
              <w:top w:val="none"/>
              <w:left w:val="none"/>
              <w:bottom w:val="single" w:color="DDD0C8" w:sz="1"/>
              <w:right w:val="none"/>
            </w:tcBorders>
            <w:shd w:fill="FFFFFF" w:val="clear"/>
            <w:tcMar>
              <w:top w:type="dxa" w:w="60"/>
              <w:left w:type="dxa" w:w="120"/>
              <w:bottom w:type="dxa" w:w="60"/>
              <w:right w:type="dxa" w:w="120"/>
            </w:tcMar>
          </w:tcPr>
          <w:p>
            <w:r>
              <w:rPr>
                <w:rFonts w:ascii="Calibri"/>
                <w:color w:val="000000"/>
                <w:sz w:val="21"/>
                <w:szCs w:val="21"/>
              </w:rPr>
              <w:t xml:space="preserve">High</w:t>
            </w:r>
          </w:p>
        </w:tc>
        <w:tc>
          <w:tcPr>
            <w:tcW w:type="pct" w:w="25%"/>
            <w:tcBorders>
              <w:top w:val="none"/>
              <w:left w:val="none"/>
              <w:bottom w:val="single" w:color="DDD0C8" w:sz="1"/>
              <w:right w:val="none"/>
            </w:tcBorders>
            <w:shd w:fill="FFFFFF" w:val="clear"/>
            <w:tcMar>
              <w:top w:type="dxa" w:w="60"/>
              <w:left w:type="dxa" w:w="120"/>
              <w:bottom w:type="dxa" w:w="60"/>
              <w:right w:type="dxa" w:w="120"/>
            </w:tcMar>
          </w:tcPr>
          <w:p>
            <w:r>
              <w:rPr>
                <w:rFonts w:ascii="Calibri"/>
                <w:color w:val="000000"/>
                <w:sz w:val="21"/>
                <w:szCs w:val="21"/>
              </w:rPr>
              <w:t xml:space="preserve">Automate workflows, consider agency support for specialized tasks</w:t>
            </w:r>
          </w:p>
        </w:tc>
      </w:tr>
    </w:tbl>
    <w:p>
      <w:pPr>
        <w:spacing w:after="60" w:before="60"/>
      </w:pPr>
    </w:p>
    <w:p>
      <w:pPr>
        <w:spacing w:after="120" w:line="312"/>
        <w:ind w:firstLine="480"/>
        <w:jc w:val="both"/>
      </w:pPr>
      <w:r>
        <w:rPr>
          <w:rFonts w:ascii="Times New Roman"/>
          <w:color w:val="000000"/>
          <w:sz w:val="24"/>
          <w:szCs w:val="24"/>
        </w:rPr>
        <w:t xml:space="preserve">Each identified risk should have a designated owner who monitors leading indicators and is empowered to take corrective action without waiting for the quarterly review cycle. Risk mitigation actions should be pre-approved and documented so that the team can respond quickly when risks materialize. The quarterly strategic review should include a formal risk reassessment, updating probability and impact scores based on new information and adding any emerging risks to the monitoring framework.</w:t>
      </w:r>
    </w:p>
    <w:p>
      <w:pPr>
        <w:pStyle w:val="Heading1"/>
        <w:spacing w:after="160" w:before="360" w:line="312"/>
      </w:pPr>
      <w:bookmarkStart w:id="100048" w:name="_Toc100048"/>
      <w:r>
        <w:rPr>
          <w:rFonts w:ascii="Times New Roman"/>
          <w:b/>
          <w:bCs/>
          <w:color w:val="0B1220"/>
          <w:sz w:val="32"/>
          <w:szCs w:val="32"/>
        </w:rPr>
        <w:t xml:space="preserve">11. Expected Benefits &amp; Evaluation</w:t>
      </w:r>
      <w:bookmarkEnd w:id="100048"/>
    </w:p>
    <w:p>
      <w:pPr>
        <w:pStyle w:val="Heading2"/>
        <w:spacing w:after="120" w:before="280" w:line="312"/>
      </w:pPr>
      <w:bookmarkStart w:id="100049" w:name="_Toc100049"/>
      <w:r>
        <w:rPr>
          <w:rFonts w:ascii="Times New Roman"/>
          <w:b/>
          <w:bCs/>
          <w:color w:val="0B1220"/>
          <w:sz w:val="28"/>
          <w:szCs w:val="28"/>
        </w:rPr>
        <w:t xml:space="preserve">11.1 Expected Outcomes</w:t>
      </w:r>
      <w:bookmarkEnd w:id="100049"/>
    </w:p>
    <w:p>
      <w:pPr>
        <w:spacing w:after="120" w:line="312"/>
        <w:ind w:firstLine="480"/>
        <w:jc w:val="both"/>
      </w:pPr>
      <w:r>
        <w:rPr>
          <w:rFonts w:ascii="Times New Roman"/>
          <w:color w:val="000000"/>
          <w:sz w:val="24"/>
          <w:szCs w:val="24"/>
        </w:rPr>
        <w:t xml:space="preserve">The successful execution of this roadmap is projected to deliver measurable improvements across all key business metrics within the 12-month implementation period. The most significant outcomes include a 3-4x increase in organic search traffic driven by the technical SEO improvements and content production engine, a pipeline of 500-1,000 new qualified registrations per month by month 12, a conversion rate from free to paid subscriptions reaching 5-8% (compared to the estimated current rate of approximately 2%), and monthly recurring revenue growing from a baseline to $15,000-$25,000 by the end of the period.</w:t>
      </w:r>
    </w:p>
    <w:p>
      <w:pPr>
        <w:spacing w:after="120" w:line="312"/>
        <w:ind w:firstLine="480"/>
        <w:jc w:val="both"/>
      </w:pPr>
      <w:r>
        <w:rPr>
          <w:rFonts w:ascii="Times New Roman"/>
          <w:color w:val="000000"/>
          <w:sz w:val="24"/>
          <w:szCs w:val="24"/>
        </w:rPr>
        <w:t xml:space="preserve">Beyond the direct revenue impact, the roadmap delivers strategic benefits that compound over time. The content library becomes a permanent asset that generates organic traffic for years. The email subscriber list grows into a owned audience that can be activated without paid media spend. The brand authority established through original research and thought leadership reduces customer acquisition costs as word-of-mouth and inbound interest increase. The ABM program creates deep relationships with enterprise accounts that generate multi-year contracts with high retention rates. Together, these strategic assets create a sustainable competitive advantage that becomes increasingly difficult for competitors to replicate.</w:t>
      </w:r>
    </w:p>
    <w:p>
      <w:pPr>
        <w:pStyle w:val="Heading2"/>
        <w:spacing w:after="120" w:before="280" w:line="312"/>
      </w:pPr>
      <w:bookmarkStart w:id="100050" w:name="_Toc100050"/>
      <w:r>
        <w:rPr>
          <w:rFonts w:ascii="Times New Roman"/>
          <w:b/>
          <w:bCs/>
          <w:color w:val="0B1220"/>
          <w:sz w:val="28"/>
          <w:szCs w:val="28"/>
        </w:rPr>
        <w:t xml:space="preserve">11.2 Success Evaluation Framework</w:t>
      </w:r>
      <w:bookmarkEnd w:id="100050"/>
    </w:p>
    <w:p>
      <w:pPr>
        <w:spacing w:after="120" w:line="312"/>
        <w:ind w:firstLine="480"/>
        <w:jc w:val="both"/>
      </w:pPr>
      <w:r>
        <w:rPr>
          <w:rFonts w:ascii="Times New Roman"/>
          <w:color w:val="000000"/>
          <w:sz w:val="24"/>
          <w:szCs w:val="24"/>
        </w:rPr>
        <w:t xml:space="preserve">Success will be evaluated through a balanced scorecard approach that considers both leading indicators (activities and inputs) and lagging indicators (outcomes and results). Leading indicators include content production volume, email send volume and open rates, ad impressions and click-through rates, and number of ABM accounts engaged. Lagging indicators include organic traffic growth, conversion rates at each funnel stage, customer acquisition cost, monthly recurring revenue, and customer lifetime value. The evaluation framework also includes qualitative assessments of brand perception, competitive positioning, and team capability development.</w:t>
      </w:r>
    </w:p>
    <w:p>
      <w:pPr>
        <w:spacing w:after="120" w:line="312"/>
        <w:ind w:firstLine="480"/>
        <w:jc w:val="both"/>
      </w:pPr>
      <w:r>
        <w:rPr>
          <w:rFonts w:ascii="Times New Roman"/>
          <w:color w:val="000000"/>
          <w:sz w:val="24"/>
          <w:szCs w:val="24"/>
        </w:rPr>
        <w:t xml:space="preserve">The quarterly strategic review will assess progress against these metrics, identify areas where the roadmap is delivering above or below expectations, and make course corrections as needed. A formal midpoint review at month 6 will be particularly important for validating the fundamental assumptions of the strategy (for example, that the target audience segments are responsive to the chosen channels and messaging) and making significant strategic pivots if the data warrants it. The end-of-year review will evaluate overall ROI, document lessons learned, and inform the roadmap for the following year.</w:t>
      </w:r>
    </w:p>
    <w:sectPr>
      <w:headerReference w:type="default" r:id="rId9"/>
      <w:footerReference w:type="default" r:id="rId10"/>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Calibri"/>
        <w:color w:val="808080"/>
        <w:sz w:val="18"/>
        <w:szCs w:val="18"/>
      </w:rPr>
      <w:t xml:space="preserve">TheOneWayGDA — Growth &amp; Acquisition Roadmap</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Calibri"/>
        <w:color w:val="808080"/>
        <w:sz w:val="18"/>
        <w:szCs w:val="18"/>
      </w:rPr>
      <w:t xml:space="preserve">TheOneWayGDA — Growth &amp; Acquisition Roadmap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olor w:val="00000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line="312"/>
      <w:outlineLvl w:val="0"/>
    </w:pPr>
    <w:rPr>
      <w:rFonts w:ascii="Times New Roman"/>
      <w:b/>
      <w:bCs/>
      <w:color w:val="0B1220"/>
      <w:sz w:val="32"/>
      <w:szCs w:val="32"/>
    </w:rPr>
  </w:style>
  <w:style w:type="paragraph" w:styleId="Heading2">
    <w:name w:val="Heading 2"/>
    <w:basedOn w:val="Normal"/>
    <w:next w:val="Normal"/>
    <w:qFormat/>
    <w:pPr>
      <w:spacing w:after="120" w:before="280" w:line="312"/>
      <w:outlineLvl w:val="1"/>
    </w:pPr>
    <w:rPr>
      <w:rFonts w:ascii="Times New Roman"/>
      <w:b/>
      <w:bCs/>
      <w:color w:val="0B1220"/>
      <w:sz w:val="28"/>
      <w:szCs w:val="28"/>
    </w:rPr>
  </w:style>
  <w:style w:type="paragraph" w:styleId="Heading3">
    <w:name w:val="Heading 3"/>
    <w:basedOn w:val="Normal"/>
    <w:next w:val="Normal"/>
    <w:qFormat/>
    <w:pPr>
      <w:spacing w:after="100" w:before="200" w:line="312"/>
      <w:outlineLvl w:val="2"/>
    </w:pPr>
    <w:rPr>
      <w:rFonts w:ascii="Times New Roman"/>
      <w:b/>
      <w:bCs/>
      <w:color w:val="0B1220"/>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2026-05-25T15:07:31.385Z</dcterms:created>
  <dcterms:modified xsi:type="dcterms:W3CDTF">2026-05-25T15:07:31.386Z</dcterms:modified>
</cp:coreProperties>
</file>

<file path=docProps/custom.xml><?xml version="1.0" encoding="utf-8"?>
<Properties xmlns="http://schemas.openxmlformats.org/officeDocument/2006/custom-properties" xmlns:vt="http://schemas.openxmlformats.org/officeDocument/2006/docPropsVTypes"/>
</file>