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Nathalie</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afternoon everyone, thank you for being here with us today. My name is Nathalie Bonnet, I’m Isabella Segarra, and I’m Peter Vitale. We are excited to share our project “Mind the GAP: Avian Responses to Conservation Investments in California”, that we completed with our faculty advisor Dr. Naomi Tague, and our Client Point Blue Conservation Science.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the news we hear regarding the state of our environment is overwhelmingly negative. Global biodiversity loss is threatening over one million known species, which particularly affects sensitive populations of animals like birds. This can feel daunting, however, large-scale efforts towards biodiversity conservation are happening around the world and here in California.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5 years, California has taken big legislative steps to directly prioritize biodiversity conservation. California’s 30x30 initiative aims to conserve 30 percent of the state’s land and coastal waters by 2030, expanding an existing network of protected areas, and directing stewardship resources more broadly. Many organizations are partnering in this goal, including our client Point Blue.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does California’s land management strategy actually look like? First, we have areas that are considered as 30x30 target land. For our purposes, these are our 30x30 protected areas. These areas are managed with conservation objectives. For anyone who has visited Santa Cruz Island right here off the coast of Santa Barbara, you’ll know that human activities are largely limited in these areas to protect the natural state of the environment.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have many areas that are not targeted for 30x30 conservation, but can span many different degrees of land stewardship. For example, national parks can also have logging activities, or public parks designated for recreational use often invest resources in green space.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most of California is made up of non-public areas with unknown management intent. These areas could be agricultural, working lands, private residential or commercial areas, or open space and forest.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historically thought of our most highly protected areas, or our 30x30 protected areas, as having the highest biodiversity. However, different stewardship paths in our non 30x30 protected areas might be beneficial. Understanding this response could change how the state invests its resources.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more than halfway to 2030. Looking at acquired acreage, the state is close to their 30 percent goal. But this doesn’t tell us if the state is experiencing success in their goals of promoting biodiversity, enhancing access and climate resiliency. So this begs the question of if we can expect to see biodiversity increasing in 30x30 protected areas. To answer this question, we looked at birds as a proxy for biodiversity.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Birds are useful for biodiversity analysis because they are generally widely observed over time, are sensitive to habitat change, and resonate with many people.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client is a non-profit organization working to conserve birds and other wildlife, and they support open access bird observations collected by scientists on their platform Avian Knowledge Network.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was to use Avian Knowledge Network data to develop evidence for the effects of land stewardship paths on bird biodiversity in California. In doing so, we wanted to develop reproducible workflows for future use.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client, we produced publicly documented analyses that can be used into the future with AKN data, a technical report summarizing our findings and recommendations. Finally, we created an interactive tool to display data and highlight areas of need for future study.</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 this, we quantified bird biodiversity using detailed bird observation data, overlaid with land protection classifications, including habitat classification to account for the state’s landscapes. With this, we analyzed patterns in bird biodiversity, and evaluated population trends using select bird species.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Peter</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Quantifying Biodiversity</w:t>
      </w:r>
      <w:r w:rsidDel="00000000" w:rsidR="00000000" w:rsidRPr="00000000">
        <w:rPr>
          <w:rFonts w:ascii="Times New Roman" w:cs="Times New Roman" w:eastAsia="Times New Roman" w:hAnsi="Times New Roman"/>
          <w:sz w:val="24"/>
          <w:szCs w:val="24"/>
          <w:rtl w:val="0"/>
        </w:rPr>
        <w:t xml:space="preserve">: Before we get into findings, it's worth clarifying what we mean by biodiversity. When we quantify it, we want to maximize two things simultaneously: the total number of species present, and evenness — making sure one dominant species isn't drowning out the rest — basically we don’t want only crows in California.</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Slide 15 (Habitat Types)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California is one of the most ecologically complex regions in the world — a mediterranean climate with more than 800 distinct microregions which we can see a few of here. Comparing birds across habitats is already hard and would make most feel like this. Comparing how those habitats respond to different land management objectives is even harder. To make this understandable, we aggregated those microregions into 7 distinct habitat types. To better understand habitat dynamics we analyzed the habitat types separately. </w:t>
      </w:r>
    </w:p>
    <w:p w:rsidR="00000000" w:rsidDel="00000000" w:rsidP="00000000" w:rsidRDefault="00000000" w:rsidRPr="00000000" w14:paraId="0000002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Dashboard: Our dashboard gives users full control over the view of the avian data we analyzed. On the left panel, you can filter by species and study site, and use the slider to narrow down by number of observations per area. The map is able to update in real time and reset easily. Below that, you can filter by survey method, habitat type, and GAP Status — that's the federal land protection classification system, running from most to least protected.  Once you've filtered down, you can click any point on the map to see the study area name, observation count, and all species recorded there at a glance. A few things jump out immediately: our study areas are concentrated in northern California, and when we filter to the highest GAP Status — the most protected lands — observations drop off sharply. That's a gap in our data we'll want to keep in mind as we move through the analysis.</w:t>
      </w:r>
    </w:p>
    <w:p w:rsidR="00000000" w:rsidDel="00000000" w:rsidP="00000000" w:rsidRDefault="00000000" w:rsidRPr="00000000" w14:paraId="0000002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Slide 16 (Biodiversity trends): </w:t>
      </w:r>
      <w:r w:rsidDel="00000000" w:rsidR="00000000" w:rsidRPr="00000000">
        <w:rPr>
          <w:rFonts w:ascii="Times New Roman" w:cs="Times New Roman" w:eastAsia="Times New Roman" w:hAnsi="Times New Roman"/>
          <w:sz w:val="24"/>
          <w:szCs w:val="24"/>
          <w:highlight w:val="white"/>
          <w:rtl w:val="0"/>
        </w:rPr>
        <w:t xml:space="preserve">This chart shows biodiversity on the y-axis running from 1990 to 2025 across AKN survey sites. The green line represents protected areas, the dark line unprotected. Two things stand out: protected areas consistently show higher biodiversity than unprotected ones, and that gap is growing — the green trend line slopes upward while unprotected areas remain flat. This tells us that at surface level conservation-focused stewardship isn't just maintaining biodiversity, it's actively improving it. </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Slide 16 (Biodiversity means)</w:t>
      </w:r>
      <w:r w:rsidDel="00000000" w:rsidR="00000000" w:rsidRPr="00000000">
        <w:rPr>
          <w:rFonts w:ascii="Times New Roman" w:cs="Times New Roman" w:eastAsia="Times New Roman" w:hAnsi="Times New Roman"/>
          <w:sz w:val="24"/>
          <w:szCs w:val="24"/>
          <w:highlight w:val="white"/>
          <w:rtl w:val="0"/>
        </w:rPr>
        <w:t xml:space="preserve">: This grid summarizes where protection helps, hurts, or makes no difference, broken out by habitat type and survey method. Green means protection helps, blue means it hurts, grey means not enough data, and white means no detectable effect. The thing to look for is green — protection helps across most habitats. The blue cells, where protection appears to hurt, have ecological explanations: water and working lands in the point count method are more difficult to sample and so have inconsistent results, and data gaps drive apparent negatives in the area search. The takeaway is that California's conservation efforts are visible, and any discrepancy at the habitat level can be tracked explicitly by Point Blue. </w:t>
      </w:r>
    </w:p>
    <w:p w:rsidR="00000000" w:rsidDel="00000000" w:rsidP="00000000" w:rsidRDefault="00000000" w:rsidRPr="00000000" w14:paraId="0000002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I’ll pass it to Isabella to discuss our focal species trend results.</w:t>
      </w:r>
    </w:p>
    <w:p w:rsidR="00000000" w:rsidDel="00000000" w:rsidP="00000000" w:rsidRDefault="00000000" w:rsidRPr="00000000" w14:paraId="0000002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Isabella’s slides:</w:t>
      </w:r>
    </w:p>
    <w:p w:rsidR="00000000" w:rsidDel="00000000" w:rsidP="00000000" w:rsidRDefault="00000000" w:rsidRPr="00000000" w14:paraId="0000002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Pop trends </w:t>
      </w:r>
    </w:p>
    <w:p w:rsidR="00000000" w:rsidDel="00000000" w:rsidP="00000000" w:rsidRDefault="00000000" w:rsidRPr="00000000" w14:paraId="00000030">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Thank you Peter. In addition to overall biodiversity, we also investigated the population trends for select </w:t>
      </w:r>
      <w:r w:rsidDel="00000000" w:rsidR="00000000" w:rsidRPr="00000000">
        <w:rPr>
          <w:rFonts w:ascii="Times New Roman" w:cs="Times New Roman" w:eastAsia="Times New Roman" w:hAnsi="Times New Roman"/>
          <w:i w:val="1"/>
          <w:iCs w:val="1"/>
          <w:sz w:val="24"/>
          <w:szCs w:val="24"/>
          <w:highlight w:val="white"/>
          <w:rtl w:val="0"/>
        </w:rPr>
        <w:t xml:space="preserve">focal </w:t>
      </w:r>
      <w:r w:rsidDel="00000000" w:rsidR="00000000" w:rsidRPr="00000000">
        <w:rPr>
          <w:rFonts w:ascii="Times New Roman" w:cs="Times New Roman" w:eastAsia="Times New Roman" w:hAnsi="Times New Roman"/>
          <w:sz w:val="24"/>
          <w:szCs w:val="24"/>
          <w:highlight w:val="white"/>
          <w:rtl w:val="0"/>
        </w:rPr>
        <w:t xml:space="preserve">species. </w:t>
      </w:r>
    </w:p>
    <w:p w:rsidR="00000000" w:rsidDel="00000000" w:rsidP="00000000" w:rsidRDefault="00000000" w:rsidRPr="00000000" w14:paraId="0000003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species were chosen because of their rich habitat associations as well as conservation relevance making them both great indicators of habitat health as well as species that are flagged by conservations as species of concern due to declining habitat ranges and populations. </w:t>
      </w:r>
    </w:p>
    <w:p w:rsidR="00000000" w:rsidDel="00000000" w:rsidP="00000000" w:rsidRDefault="00000000" w:rsidRPr="00000000" w14:paraId="0000003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They allow us to answer the question: Are 30x30 protected lands working to protect species of concern? </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evaluated the trends of </w:t>
      </w:r>
      <w:r w:rsidDel="00000000" w:rsidR="00000000" w:rsidRPr="00000000">
        <w:rPr>
          <w:rFonts w:ascii="Times New Roman" w:cs="Times New Roman" w:eastAsia="Times New Roman" w:hAnsi="Times New Roman"/>
          <w:i w:val="1"/>
          <w:iCs w:val="1"/>
          <w:sz w:val="24"/>
          <w:szCs w:val="24"/>
          <w:highlight w:val="white"/>
          <w:rtl w:val="0"/>
        </w:rPr>
        <w:t xml:space="preserve">seven</w:t>
      </w:r>
      <w:r w:rsidDel="00000000" w:rsidR="00000000" w:rsidRPr="00000000">
        <w:rPr>
          <w:rFonts w:ascii="Times New Roman" w:cs="Times New Roman" w:eastAsia="Times New Roman" w:hAnsi="Times New Roman"/>
          <w:sz w:val="24"/>
          <w:szCs w:val="24"/>
          <w:highlight w:val="white"/>
          <w:rtl w:val="0"/>
        </w:rPr>
        <w:t xml:space="preserve"> focal species, today we will discuss what the trends are for Western Meadowlark in grasslands, song sparrow in hardwood, and red-winged blackbird in working lands. To be clear, these are species observations that are taken only in those habitats. </w:t>
      </w:r>
    </w:p>
    <w:p w:rsidR="00000000" w:rsidDel="00000000" w:rsidP="00000000" w:rsidRDefault="00000000" w:rsidRPr="00000000" w14:paraId="0000003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what did we find? </w:t>
      </w:r>
    </w:p>
    <w:p w:rsidR="00000000" w:rsidDel="00000000" w:rsidP="00000000" w:rsidRDefault="00000000" w:rsidRPr="00000000" w14:paraId="0000003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our x-axes we have time, and our y axis is relative abundance or counts that have been adjusted based on effort. </w:t>
      </w:r>
    </w:p>
    <w:p w:rsidR="00000000" w:rsidDel="00000000" w:rsidP="00000000" w:rsidRDefault="00000000" w:rsidRPr="00000000" w14:paraId="0000003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Western Meadowlarks began the study period with higher counts, but unprotected sites increased over time, surpassing their populations, particularly in unprotected regions with active stewardship. </w:t>
      </w: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wide shaded region reflects genuine uncertainty in unprotected sites — but the upward direction is consistent across the study period.</w:t>
      </w: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Song Sparrows show a different story. Despite having higher baseline abundance in protected sites, they are declining everywhere – within protected sites and an even </w:t>
      </w:r>
      <w:r w:rsidDel="00000000" w:rsidR="00000000" w:rsidRPr="00000000">
        <w:rPr>
          <w:rFonts w:ascii="Times New Roman" w:cs="Times New Roman" w:eastAsia="Times New Roman" w:hAnsi="Times New Roman"/>
          <w:i w:val="1"/>
          <w:iCs w:val="1"/>
          <w:sz w:val="24"/>
          <w:szCs w:val="24"/>
          <w:highlight w:val="white"/>
          <w:rtl w:val="0"/>
        </w:rPr>
        <w:t xml:space="preserve">faster</w:t>
      </w:r>
      <w:r w:rsidDel="00000000" w:rsidR="00000000" w:rsidRPr="00000000">
        <w:rPr>
          <w:rFonts w:ascii="Times New Roman" w:cs="Times New Roman" w:eastAsia="Times New Roman" w:hAnsi="Times New Roman"/>
          <w:sz w:val="24"/>
          <w:szCs w:val="24"/>
          <w:highlight w:val="white"/>
          <w:rtl w:val="0"/>
        </w:rPr>
        <w:t xml:space="preserve"> decline in unprotected sites. An alarm for conservationists and results that match regional trends. However it is still unknown the mechanisms driving these patterns.</w:t>
      </w:r>
    </w:p>
    <w:p w:rsidR="00000000" w:rsidDel="00000000" w:rsidP="00000000" w:rsidRDefault="00000000" w:rsidRPr="00000000" w14:paraId="0000004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rest of our focal species followed a similar pattern to our Red-winged Blackbird. Protected sites maintain relatively stable populations or no detectable trend over time. For our Red-winged blackbirds, this trend is possibly due to declining wetland extent.</w:t>
      </w:r>
    </w:p>
    <w:p w:rsidR="00000000" w:rsidDel="00000000" w:rsidP="00000000" w:rsidRDefault="00000000" w:rsidRPr="00000000" w14:paraId="0000004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Discussion</w:t>
      </w:r>
    </w:p>
    <w:p w:rsidR="00000000" w:rsidDel="00000000" w:rsidP="00000000" w:rsidRDefault="00000000" w:rsidRPr="00000000" w14:paraId="0000004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 what do these results suggest? From the results of our biodiversity analysis and focal species trends, can we answer the question of </w:t>
      </w:r>
      <w:r w:rsidDel="00000000" w:rsidR="00000000" w:rsidRPr="00000000">
        <w:rPr>
          <w:rFonts w:ascii="Times New Roman" w:cs="Times New Roman" w:eastAsia="Times New Roman" w:hAnsi="Times New Roman"/>
          <w:i w:val="1"/>
          <w:iCs w:val="1"/>
          <w:sz w:val="24"/>
          <w:szCs w:val="24"/>
          <w:highlight w:val="white"/>
          <w:rtl w:val="0"/>
        </w:rPr>
        <w:t xml:space="preserve">is protection preserving biodiversity?</w:t>
      </w: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results show that protection is working to promote biodiversity in 30x30 protected areas. </w:t>
      </w:r>
    </w:p>
    <w:p w:rsidR="00000000" w:rsidDel="00000000" w:rsidP="00000000" w:rsidRDefault="00000000" w:rsidRPr="00000000" w14:paraId="0000004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However, these results vary based on habitat. </w:t>
      </w:r>
    </w:p>
    <w:p w:rsidR="00000000" w:rsidDel="00000000" w:rsidP="00000000" w:rsidRDefault="00000000" w:rsidRPr="00000000" w14:paraId="0000004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focal species trends reveal a more nuanced story, showing that protected lands reveal different stories. Stable populations for some of our species in protected areas, but diverging trends for others revealing that protection alone isn’t sufficient for some species. </w:t>
      </w:r>
    </w:p>
    <w:p w:rsidR="00000000" w:rsidDel="00000000" w:rsidP="00000000" w:rsidRDefault="00000000" w:rsidRPr="00000000" w14:paraId="0000004B">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also did some additional analysis which revealed that active stewardship practices are also working to promote biodiversity in unprotected areas, as seen with our Western Meadowlarks. </w:t>
      </w:r>
    </w:p>
    <w:p w:rsidR="00000000" w:rsidDel="00000000" w:rsidP="00000000" w:rsidRDefault="00000000" w:rsidRPr="00000000" w14:paraId="0000004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Data Sharing Levels </w:t>
      </w:r>
    </w:p>
    <w:p w:rsidR="00000000" w:rsidDel="00000000" w:rsidP="00000000" w:rsidRDefault="00000000" w:rsidRPr="00000000" w14:paraId="0000004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results you’ve seen today were built entirely on public data. </w:t>
      </w:r>
    </w:p>
    <w:p w:rsidR="00000000" w:rsidDel="00000000" w:rsidP="00000000" w:rsidRDefault="00000000" w:rsidRPr="00000000" w14:paraId="0000005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But California’s full avian biodiversity picture lives across multiple data sharing levels within the Avian Knowledge Network. This includes restricted data, data for the most protected and least protected regions, which are critical gaps within our analysis. </w:t>
      </w:r>
    </w:p>
    <w:p w:rsidR="00000000" w:rsidDel="00000000" w:rsidP="00000000" w:rsidRDefault="00000000" w:rsidRPr="00000000" w14:paraId="00000052">
      <w:pPr>
        <w:spacing w:after="240" w:before="240" w:line="360" w:lineRule="auto"/>
        <w:ind w:left="0" w:right="6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are sharing this today to highlight the robust analyses you can do with public data, and to encourage contributors to continue sharing their data for future analyses. </w:t>
      </w:r>
    </w:p>
    <w:p w:rsidR="00000000" w:rsidDel="00000000" w:rsidP="00000000" w:rsidRDefault="00000000" w:rsidRPr="00000000" w14:paraId="0000005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Recommendations (for our client)</w:t>
      </w: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now have the workflow that our client, Point Blue, can use with available data across all data sharing levels as previously discussed. </w:t>
      </w:r>
    </w:p>
    <w:p w:rsidR="00000000" w:rsidDel="00000000" w:rsidP="00000000" w:rsidRDefault="00000000" w:rsidRPr="00000000" w14:paraId="0000005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analysis was intended to be high level. We identified broad patterns and flagged diverging trends. The next step is a finer-scale investigation to confirm the mechanisms driving each pattern.</w:t>
      </w:r>
    </w:p>
    <w:p w:rsidR="00000000" w:rsidDel="00000000" w:rsidP="00000000" w:rsidRDefault="00000000" w:rsidRPr="00000000" w14:paraId="0000005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 lastly, we suggest the use of our interactive dashboard  to visualize where we need data and to help plan future biodiversity assessments. </w:t>
      </w:r>
    </w:p>
    <w:p w:rsidR="00000000" w:rsidDel="00000000" w:rsidP="00000000" w:rsidRDefault="00000000" w:rsidRPr="00000000" w14:paraId="0000005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Closing</w:t>
      </w:r>
    </w:p>
    <w:p w:rsidR="00000000" w:rsidDel="00000000" w:rsidP="00000000" w:rsidRDefault="00000000" w:rsidRPr="00000000" w14:paraId="0000005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that said, California is nearly 4 years away from the 2030 deadline. But don’t sweat it, our protection policies are working. But targeted acquisition and better monitoring will determine California’s pathway to 30x30 and a more biodiverse state. Thank you. </w:t>
      </w:r>
    </w:p>
    <w:p w:rsidR="00000000" w:rsidDel="00000000" w:rsidP="00000000" w:rsidRDefault="00000000" w:rsidRPr="00000000" w14:paraId="0000005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D">
      <w:pP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Acknowledgements</w:t>
      </w:r>
    </w:p>
    <w:p w:rsidR="00000000" w:rsidDel="00000000" w:rsidP="00000000" w:rsidRDefault="00000000" w:rsidRPr="00000000" w14:paraId="0000005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would like to thank your advisors. Our faculty advisor Dr. Naomi Tague. Our Capstone advisor Dr.</w:t>
      </w:r>
      <w:hyperlink r:id="rId6">
        <w:r w:rsidDel="00000000" w:rsidR="00000000" w:rsidRPr="00000000">
          <w:rPr>
            <w:rFonts w:ascii="Times New Roman" w:cs="Times New Roman" w:eastAsia="Times New Roman" w:hAnsi="Times New Roman"/>
            <w:color w:val="0000ee"/>
            <w:sz w:val="24"/>
            <w:szCs w:val="24"/>
            <w:highlight w:val="white"/>
            <w:u w:val="single"/>
            <w:rtl w:val="0"/>
          </w:rPr>
          <w:t xml:space="preserve">Carmen Galaz García</w:t>
        </w:r>
      </w:hyperlink>
      <w:r w:rsidDel="00000000" w:rsidR="00000000" w:rsidRPr="00000000">
        <w:rPr>
          <w:rFonts w:ascii="Times New Roman" w:cs="Times New Roman" w:eastAsia="Times New Roman" w:hAnsi="Times New Roman"/>
          <w:sz w:val="24"/>
          <w:szCs w:val="24"/>
          <w:highlight w:val="white"/>
          <w:rtl w:val="0"/>
        </w:rPr>
        <w:t xml:space="preserve">, and our partner Point Blue Conservation Science, our client Dr. Sam Veloz, and the many staff ecologists at Point Blue who aided us in our very ecological results.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_galazgarcia@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