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Blattodea;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CFC1B06"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763540" w:rsidRPr="003F7BF2">
        <w:rPr>
          <w:rFonts w:ascii="Arial" w:hAnsi="Arial" w:cs="Arial"/>
          <w:color w:val="000000"/>
          <w:sz w:val="20"/>
          <w:szCs w:val="20"/>
        </w:rPr>
        <w:t>/</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A5B8EB6"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 xml:space="preserve">evolutionary time [1]. While there is an abundant body of research on insertions with homology to protein-coding sequence, transfers that do not encode proteins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6A16E1C7"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932CF25" w14:textId="0AE079C5" w:rsidR="00D20C68" w:rsidRPr="003F7BF2" w:rsidRDefault="006231F1" w:rsidP="00CD1C1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2347C9" w:rsidRPr="003F7BF2">
        <w:rPr>
          <w:rFonts w:asciiTheme="minorBidi" w:hAnsiTheme="minorBidi"/>
          <w:color w:val="000000" w:themeColor="text1"/>
          <w:sz w:val="20"/>
          <w:szCs w:val="20"/>
        </w:rPr>
        <w:t xml:space="preserve">Inserts </w:t>
      </w:r>
      <w:r w:rsidR="00712041" w:rsidRPr="003F7BF2">
        <w:rPr>
          <w:rFonts w:asciiTheme="minorBidi" w:hAnsiTheme="minorBidi"/>
          <w:color w:val="000000" w:themeColor="text1"/>
          <w:sz w:val="20"/>
          <w:szCs w:val="20"/>
        </w:rPr>
        <w:t>were</w:t>
      </w:r>
      <w:r w:rsidR="002347C9" w:rsidRPr="003F7BF2">
        <w:rPr>
          <w:rFonts w:asciiTheme="minorBidi" w:hAnsiTheme="minorBidi"/>
          <w:color w:val="000000" w:themeColor="text1"/>
          <w:sz w:val="20"/>
          <w:szCs w:val="20"/>
        </w:rPr>
        <w:t xml:space="preserve"> cluster</w:t>
      </w:r>
      <w:r w:rsidR="009D6544" w:rsidRPr="003F7BF2">
        <w:rPr>
          <w:rFonts w:asciiTheme="minorBidi" w:hAnsiTheme="minorBidi"/>
          <w:color w:val="000000" w:themeColor="text1"/>
          <w:sz w:val="20"/>
          <w:szCs w:val="20"/>
        </w:rPr>
        <w:t>ed</w:t>
      </w:r>
      <w:r w:rsidR="002347C9" w:rsidRPr="003F7BF2">
        <w:rPr>
          <w:rFonts w:asciiTheme="minorBidi" w:hAnsiTheme="minorBidi"/>
          <w:color w:val="000000" w:themeColor="text1"/>
          <w:sz w:val="20"/>
          <w:szCs w:val="20"/>
        </w:rPr>
        <w:t xml:space="preserve"> on some contigs, but general</w:t>
      </w:r>
      <w:r w:rsidR="00E604B8" w:rsidRPr="003F7BF2">
        <w:rPr>
          <w:rFonts w:asciiTheme="minorBidi" w:hAnsiTheme="minorBidi"/>
          <w:color w:val="000000" w:themeColor="text1"/>
          <w:sz w:val="20"/>
          <w:szCs w:val="20"/>
        </w:rPr>
        <w:t xml:space="preserve">ly </w:t>
      </w:r>
      <w:r w:rsidR="002347C9" w:rsidRPr="003F7BF2">
        <w:rPr>
          <w:rFonts w:asciiTheme="minorBidi" w:hAnsiTheme="minorBidi"/>
          <w:color w:val="000000" w:themeColor="text1"/>
          <w:sz w:val="20"/>
          <w:szCs w:val="20"/>
        </w:rPr>
        <w:t xml:space="preserve">were broadly distributed across host genomes, consistent with </w:t>
      </w:r>
      <w:r w:rsidR="00554EC6" w:rsidRPr="003F7BF2">
        <w:rPr>
          <w:rFonts w:asciiTheme="minorBidi" w:hAnsiTheme="minorBidi"/>
          <w:color w:val="000000" w:themeColor="text1"/>
          <w:sz w:val="20"/>
          <w:szCs w:val="20"/>
        </w:rPr>
        <w:t>man</w:t>
      </w:r>
      <w:r w:rsidR="00FD1066" w:rsidRPr="003F7BF2">
        <w:rPr>
          <w:rFonts w:asciiTheme="minorBidi" w:hAnsiTheme="minorBidi"/>
          <w:color w:val="000000" w:themeColor="text1"/>
          <w:sz w:val="20"/>
          <w:szCs w:val="20"/>
        </w:rPr>
        <w:t xml:space="preserve">y </w:t>
      </w:r>
      <w:r w:rsidR="00712041" w:rsidRPr="003F7BF2">
        <w:rPr>
          <w:rFonts w:asciiTheme="minorBidi" w:hAnsiTheme="minorBidi"/>
          <w:color w:val="000000" w:themeColor="text1"/>
          <w:sz w:val="20"/>
          <w:szCs w:val="20"/>
        </w:rPr>
        <w:t xml:space="preserve">independent </w:t>
      </w:r>
      <w:r w:rsidR="002347C9" w:rsidRPr="003F7BF2">
        <w:rPr>
          <w:rFonts w:asciiTheme="minorBidi" w:hAnsiTheme="minorBidi"/>
          <w:color w:val="000000" w:themeColor="text1"/>
          <w:sz w:val="20"/>
          <w:szCs w:val="20"/>
        </w:rPr>
        <w:t xml:space="preserve">HGT events (see </w:t>
      </w:r>
      <w:r w:rsidR="003C5559" w:rsidRPr="003F7BF2">
        <w:rPr>
          <w:rFonts w:asciiTheme="minorBidi" w:hAnsiTheme="minorBidi"/>
          <w:color w:val="000000" w:themeColor="text1"/>
          <w:sz w:val="20"/>
          <w:szCs w:val="20"/>
        </w:rPr>
        <w:t>Fig</w:t>
      </w:r>
      <w:r w:rsidR="00E378A2" w:rsidRPr="003F7BF2">
        <w:rPr>
          <w:rFonts w:asciiTheme="minorBidi" w:hAnsiTheme="minorBidi"/>
          <w:color w:val="000000" w:themeColor="text1"/>
          <w:sz w:val="20"/>
          <w:szCs w:val="20"/>
        </w:rPr>
        <w:t>.</w:t>
      </w:r>
      <w:r w:rsidR="003C5559" w:rsidRPr="003F7BF2">
        <w:rPr>
          <w:rFonts w:asciiTheme="minorBidi" w:hAnsiTheme="minorBidi"/>
          <w:color w:val="000000" w:themeColor="text1"/>
          <w:sz w:val="20"/>
          <w:szCs w:val="20"/>
        </w:rPr>
        <w:t xml:space="preserve"> 1</w:t>
      </w:r>
      <w:r w:rsidR="006A47F8" w:rsidRPr="003F7BF2">
        <w:rPr>
          <w:rFonts w:asciiTheme="minorBidi" w:hAnsiTheme="minorBidi"/>
          <w:color w:val="000000" w:themeColor="text1"/>
          <w:sz w:val="20"/>
          <w:szCs w:val="20"/>
        </w:rPr>
        <w:t>C</w:t>
      </w:r>
      <w:r w:rsidR="003C5559" w:rsidRPr="003F7BF2">
        <w:rPr>
          <w:rFonts w:asciiTheme="minorBidi" w:hAnsiTheme="minorBidi"/>
          <w:color w:val="000000" w:themeColor="text1"/>
          <w:sz w:val="20"/>
          <w:szCs w:val="20"/>
        </w:rPr>
        <w:t xml:space="preserve">, Dataset S4 and </w:t>
      </w:r>
      <w:r w:rsidR="0027521D" w:rsidRPr="0027521D">
        <w:rPr>
          <w:rFonts w:asciiTheme="minorBidi" w:hAnsiTheme="minorBidi"/>
          <w:color w:val="000000" w:themeColor="text1"/>
          <w:sz w:val="20"/>
          <w:szCs w:val="20"/>
        </w:rPr>
        <w:t>SI Appendix</w:t>
      </w:r>
      <w:r w:rsidR="002347C9" w:rsidRPr="003F7BF2">
        <w:rPr>
          <w:rFonts w:asciiTheme="minorBidi" w:hAnsiTheme="minorBidi"/>
          <w:color w:val="000000" w:themeColor="text1"/>
          <w:sz w:val="20"/>
          <w:szCs w:val="20"/>
        </w:rPr>
        <w:t>).</w:t>
      </w:r>
    </w:p>
    <w:p w14:paraId="761CAEEA" w14:textId="77777777" w:rsidR="00D20C68" w:rsidRPr="003F7BF2" w:rsidRDefault="00D20C68" w:rsidP="006231F1">
      <w:pPr>
        <w:rPr>
          <w:rFonts w:asciiTheme="minorBidi" w:hAnsiTheme="minorBidi"/>
          <w:color w:val="000000" w:themeColor="text1"/>
          <w:sz w:val="20"/>
          <w:szCs w:val="20"/>
        </w:rPr>
      </w:pPr>
    </w:p>
    <w:p w14:paraId="227C033C" w14:textId="1E4A0998" w:rsidR="006231F1" w:rsidRPr="003F7BF2" w:rsidRDefault="00771BAE" w:rsidP="006231F1">
      <w:pPr>
        <w:rPr>
          <w:rFonts w:asciiTheme="minorBidi" w:hAnsiTheme="minorBidi"/>
          <w:sz w:val="20"/>
          <w:szCs w:val="20"/>
        </w:rPr>
      </w:pPr>
      <w:r w:rsidRPr="003F7BF2">
        <w:rPr>
          <w:rFonts w:asciiTheme="minorBidi" w:hAnsiTheme="minorBidi"/>
          <w:color w:val="000000" w:themeColor="text1"/>
          <w:sz w:val="20"/>
          <w:szCs w:val="20"/>
        </w:rPr>
        <w:lastRenderedPageBreak/>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6231F1" w:rsidRPr="003F7BF2">
        <w:rPr>
          <w:rFonts w:asciiTheme="minorBidi" w:hAnsiTheme="minorBidi"/>
          <w:sz w:val="20"/>
          <w:szCs w:val="20"/>
        </w:rPr>
        <w:t xml:space="preserve">in </w:t>
      </w:r>
      <w:r w:rsidR="00E65BC9" w:rsidRPr="00E65BC9">
        <w:rPr>
          <w:rFonts w:asciiTheme="minorBidi" w:hAnsiTheme="minorBidi"/>
          <w:sz w:val="20"/>
          <w:szCs w:val="20"/>
        </w:rPr>
        <w:t>the three Blattodea species examined</w:t>
      </w:r>
      <w:r w:rsidR="006231F1" w:rsidRPr="003F7BF2">
        <w:rPr>
          <w:rFonts w:asciiTheme="minorBidi" w:hAnsiTheme="minorBidi"/>
          <w:sz w:val="20"/>
          <w:szCs w:val="20"/>
        </w:rPr>
        <w:t xml:space="preserve"> [8]; however, this is likely due to a focus on protein-coding sequence.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have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be missed </w:t>
      </w:r>
      <w:r w:rsidR="00E65BC9">
        <w:rPr>
          <w:rFonts w:asciiTheme="minorBidi" w:hAnsiTheme="minorBidi"/>
          <w:sz w:val="20"/>
          <w:szCs w:val="20"/>
        </w:rPr>
        <w:t>if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 xml:space="preserve">no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267C983C" w:rsidR="006231F1" w:rsidRPr="003F7BF2" w:rsidRDefault="006231F1" w:rsidP="006231F1">
      <w:pPr>
        <w:rPr>
          <w:rFonts w:asciiTheme="minorBidi" w:hAnsiTheme="minorBidi"/>
          <w:sz w:val="20"/>
          <w:szCs w:val="20"/>
        </w:rPr>
      </w:pPr>
      <w:bookmarkStart w:id="2" w:name="OLE_LINK3"/>
      <w:bookmarkStart w:id="3"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C415B4" w:rsidRPr="003F7BF2">
        <w:rPr>
          <w:rFonts w:asciiTheme="minorBidi" w:hAnsiTheme="minorBidi"/>
          <w:sz w:val="20"/>
          <w:szCs w:val="20"/>
        </w:rPr>
        <w:t>/</w:t>
      </w:r>
      <w:proofErr w:type="spellStart"/>
      <w:r w:rsidR="00C415B4" w:rsidRPr="003F7BF2">
        <w:rPr>
          <w:rFonts w:asciiTheme="minorBidi" w:hAnsiTheme="minorBidi"/>
          <w:sz w:val="20"/>
          <w:szCs w:val="20"/>
        </w:rPr>
        <w:t>Geoscapheinae</w:t>
      </w:r>
      <w:bookmarkEnd w:id="2"/>
      <w:bookmarkEnd w:id="3"/>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as well as a considerable reduction in genome size.</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645B0B0E"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C415B4" w:rsidRPr="003F7BF2">
        <w:rPr>
          <w:rFonts w:asciiTheme="minorBidi" w:hAnsiTheme="minorBidi"/>
          <w:sz w:val="20"/>
          <w:szCs w:val="20"/>
        </w:rPr>
        <w:t>/</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13C3F84C"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Of the remaining inserts, which were observed in assembled RNA contigs, 26.59–32.97% overlapped with annotated genic 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t>
      </w:r>
      <w:r w:rsidRPr="003F7BF2">
        <w:rPr>
          <w:rFonts w:asciiTheme="minorBidi" w:hAnsiTheme="minorBidi"/>
          <w:sz w:val="20"/>
          <w:szCs w:val="20"/>
        </w:rPr>
        <w:lastRenderedPageBreak/>
        <w:t xml:space="preserve">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S5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388B0585" w:rsidR="006231F1" w:rsidRPr="003F7BF2" w:rsidRDefault="006231F1" w:rsidP="006231F1">
      <w:pPr>
        <w:rPr>
          <w:rFonts w:asciiTheme="minorBidi" w:hAnsiTheme="minorBidi"/>
          <w:sz w:val="20"/>
          <w:szCs w:val="20"/>
        </w:rPr>
      </w:pPr>
      <w:r w:rsidRPr="003F7BF2">
        <w:rPr>
          <w:rFonts w:asciiTheme="minorBidi" w:hAnsiTheme="minorBidi"/>
          <w:sz w:val="20"/>
          <w:szCs w:val="20"/>
        </w:rPr>
        <w:t>During manual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(Fig. 2B). </w:t>
      </w:r>
      <w:r w:rsidR="00F12055" w:rsidRPr="003F7BF2">
        <w:rPr>
          <w:rFonts w:asciiTheme="minorBidi" w:hAnsiTheme="minorBidi"/>
          <w:color w:val="000000" w:themeColor="text1"/>
          <w:sz w:val="20"/>
          <w:szCs w:val="20"/>
        </w:rPr>
        <w:t xml:space="preserve">These inserts comprised up to </w:t>
      </w:r>
      <w:r w:rsidR="00E12FEF" w:rsidRPr="003F7BF2">
        <w:rPr>
          <w:rFonts w:asciiTheme="minorBidi" w:hAnsiTheme="minorBidi"/>
          <w:color w:val="000000" w:themeColor="text1"/>
          <w:sz w:val="20"/>
          <w:szCs w:val="20"/>
        </w:rPr>
        <w:t>nine</w:t>
      </w:r>
      <w:r w:rsidR="008E0C31" w:rsidRPr="003F7BF2">
        <w:rPr>
          <w:rFonts w:asciiTheme="minorBidi" w:hAnsiTheme="minorBidi"/>
          <w:color w:val="000000" w:themeColor="text1"/>
          <w:sz w:val="20"/>
          <w:szCs w:val="20"/>
        </w:rPr>
        <w:t xml:space="preserve"> </w:t>
      </w:r>
      <w:proofErr w:type="spellStart"/>
      <w:r w:rsidR="00F12055" w:rsidRPr="003F7BF2">
        <w:rPr>
          <w:rFonts w:asciiTheme="minorBidi" w:hAnsiTheme="minorBidi"/>
          <w:i/>
          <w:color w:val="000000" w:themeColor="text1"/>
          <w:sz w:val="20"/>
          <w:szCs w:val="20"/>
        </w:rPr>
        <w:t>Blattabacterium</w:t>
      </w:r>
      <w:proofErr w:type="spellEnd"/>
      <w:r w:rsidR="00F12055" w:rsidRPr="003F7BF2">
        <w:rPr>
          <w:rFonts w:asciiTheme="minorBidi" w:hAnsiTheme="minorBidi"/>
          <w:color w:val="000000" w:themeColor="text1"/>
          <w:sz w:val="20"/>
          <w:szCs w:val="20"/>
        </w:rPr>
        <w:t xml:space="preserve">-derived segments. </w:t>
      </w:r>
      <w:r w:rsidRPr="003F7BF2">
        <w:rPr>
          <w:rFonts w:asciiTheme="minorBidi" w:hAnsiTheme="minorBidi"/>
          <w:color w:val="000000" w:themeColor="text1"/>
          <w:sz w:val="20"/>
          <w:szCs w:val="20"/>
        </w:rPr>
        <w:t xml:space="preserve">Such chimeric DNA inserts were present in all cockroach genomes. </w:t>
      </w:r>
      <w:r w:rsidRPr="003F7BF2">
        <w:rPr>
          <w:rFonts w:asciiTheme="minorBidi" w:hAnsiTheme="minorBidi"/>
          <w:sz w:val="20"/>
          <w:szCs w:val="20"/>
        </w:rPr>
        <w:t xml:space="preserve">These chimeric inserts are akin to previous reports of 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and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0A6A0992"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r w:rsidRPr="003F7BF2">
        <w:rPr>
          <w:rFonts w:asciiTheme="minorBidi" w:hAnsiTheme="minorBidi"/>
          <w:color w:val="000000" w:themeColor="text1"/>
          <w:sz w:val="20"/>
          <w:szCs w:val="20"/>
        </w:rPr>
        <w:t xml:space="preserve">Blattodea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5B0EF11A"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 xml:space="preserve">We thank James Walker, Bruce Gray for assistance with sample provision for genome sequencing, 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Symbionts in the oocytes of Blattella germanica (</w:t>
      </w:r>
      <w:proofErr w:type="gramStart"/>
      <w:r w:rsidRPr="003F7BF2">
        <w:rPr>
          <w:rFonts w:asciiTheme="minorBidi" w:hAnsiTheme="minorBidi"/>
          <w:sz w:val="20"/>
          <w:szCs w:val="20"/>
        </w:rPr>
        <w:t>L.)(</w:t>
      </w:r>
      <w:proofErr w:type="spellStart"/>
      <w:proofErr w:type="gramEnd"/>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3F7BF2">
        <w:rPr>
          <w:rFonts w:asciiTheme="minorBidi" w:hAnsiTheme="minorBidi"/>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Digging</w:t>
      </w:r>
      <w:proofErr w:type="gramEnd"/>
      <w:r w:rsidRPr="003F7BF2">
        <w:rPr>
          <w:rFonts w:asciiTheme="minorBidi" w:hAnsiTheme="minorBidi"/>
          <w:sz w:val="20"/>
          <w:szCs w:val="20"/>
        </w:rPr>
        <w:t xml:space="preserve">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An</w:t>
      </w:r>
      <w:proofErr w:type="gramEnd"/>
      <w:r w:rsidRPr="003F7BF2">
        <w:rPr>
          <w:rFonts w:asciiTheme="minorBidi" w:hAnsiTheme="minorBidi"/>
          <w:sz w:val="20"/>
          <w:szCs w:val="20"/>
        </w:rPr>
        <w:t xml:space="preserve">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0274D0CD" w:rsidR="00E6133D"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M. W. D. Adams </w:t>
      </w:r>
      <w:r w:rsidRPr="003F7BF2">
        <w:rPr>
          <w:rFonts w:asciiTheme="minorBidi" w:hAnsiTheme="minorBidi"/>
          <w:i/>
          <w:iCs/>
          <w:sz w:val="20"/>
          <w:szCs w:val="20"/>
        </w:rPr>
        <w:t>et al</w:t>
      </w:r>
      <w:r w:rsidRPr="003F7BF2">
        <w:rPr>
          <w:rFonts w:asciiTheme="minorBidi" w:hAnsiTheme="minorBidi"/>
          <w:sz w:val="20"/>
          <w:szCs w:val="20"/>
        </w:rPr>
        <w:t xml:space="preserve">., Pleistocene sea-level fluctuation shapes archipelago-wide population structure in the Endangered Lord Howe Island cockroach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lata</w:t>
      </w:r>
      <w:proofErr w:type="spellEnd"/>
      <w:r w:rsidRPr="003F7BF2">
        <w:rPr>
          <w:rFonts w:asciiTheme="minorBidi" w:hAnsiTheme="minorBidi"/>
          <w:sz w:val="20"/>
          <w:szCs w:val="20"/>
        </w:rPr>
        <w:t xml:space="preserve">. </w:t>
      </w:r>
      <w:r w:rsidRPr="003F7BF2">
        <w:rPr>
          <w:rFonts w:asciiTheme="minorBidi" w:hAnsiTheme="minorBidi"/>
          <w:i/>
          <w:iCs/>
          <w:sz w:val="20"/>
          <w:szCs w:val="20"/>
        </w:rPr>
        <w:t>bioRxiv</w:t>
      </w:r>
      <w:r w:rsidRPr="003F7BF2">
        <w:rPr>
          <w:rFonts w:asciiTheme="minorBidi" w:hAnsiTheme="minorBidi"/>
          <w:sz w:val="20"/>
          <w:szCs w:val="20"/>
        </w:rPr>
        <w:t xml:space="preserve"> [Preprint] (2024). https://doi.org/10.1101/2024.11.12.623290 (accessed 15 November 2024).</w:t>
      </w:r>
    </w:p>
    <w:p w14:paraId="567AFC2C" w14:textId="6E34608C" w:rsidR="00D3701A" w:rsidRPr="003F7BF2" w:rsidRDefault="00D3701A" w:rsidP="00D3701A">
      <w:pPr>
        <w:spacing w:after="0"/>
        <w:jc w:val="both"/>
        <w:rPr>
          <w:rFonts w:asciiTheme="minorBidi" w:hAnsiTheme="minorBidi"/>
          <w:sz w:val="20"/>
          <w:szCs w:val="20"/>
        </w:rPr>
      </w:pPr>
    </w:p>
    <w:p w14:paraId="2139FDBD" w14:textId="77777777" w:rsidR="00D3701A" w:rsidRPr="003F7BF2" w:rsidRDefault="00D3701A" w:rsidP="00D3701A">
      <w:p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11055E8C" w:rsidR="00175FC4" w:rsidRPr="003F7BF2" w:rsidRDefault="00980C22" w:rsidP="007B093C">
      <w:pPr>
        <w:keepNext/>
        <w:pBdr>
          <w:top w:val="nil"/>
          <w:left w:val="nil"/>
          <w:bottom w:val="nil"/>
          <w:right w:val="nil"/>
          <w:between w:val="nil"/>
        </w:pBdr>
        <w:spacing w:before="240" w:after="60"/>
        <w:contextualSpacing/>
        <w:jc w:val="center"/>
        <w:rPr>
          <w:rFonts w:ascii="Arial" w:hAnsi="Arial" w:cs="Arial"/>
          <w:b/>
          <w:color w:val="000000"/>
          <w:sz w:val="20"/>
          <w:szCs w:val="20"/>
        </w:rPr>
      </w:pPr>
      <w:r w:rsidRPr="003F7BF2">
        <w:rPr>
          <w:rFonts w:ascii="Arial" w:hAnsi="Arial" w:cs="Arial"/>
          <w:b/>
          <w:color w:val="000000"/>
          <w:sz w:val="20"/>
          <w:szCs w:val="20"/>
        </w:rPr>
        <w:lastRenderedPageBreak/>
        <w:t xml:space="preserve">Figures </w:t>
      </w:r>
      <w:r w:rsidR="00D3701A" w:rsidRPr="003F7BF2">
        <w:rPr>
          <w:rFonts w:ascii="Arial" w:hAnsi="Arial" w:cs="Arial"/>
          <w:b/>
          <w:color w:val="000000"/>
          <w:sz w:val="20"/>
          <w:szCs w:val="20"/>
        </w:rPr>
        <w:br/>
      </w:r>
      <w:r w:rsidR="00002384" w:rsidRPr="003F7BF2">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2"/>
                    <a:stretch>
                      <a:fillRect/>
                    </a:stretch>
                  </pic:blipFill>
                  <pic:spPr>
                    <a:xfrm>
                      <a:off x="0" y="0"/>
                      <a:ext cx="5492357" cy="4157523"/>
                    </a:xfrm>
                    <a:prstGeom prst="rect">
                      <a:avLst/>
                    </a:prstGeom>
                  </pic:spPr>
                </pic:pic>
              </a:graphicData>
            </a:graphic>
          </wp:inline>
        </w:drawing>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3EB1C0FD"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0224AD56" w14:textId="5B4669A6"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Pr="003F7BF2" w:rsidRDefault="00D3701A" w:rsidP="00A818F7">
      <w:pPr>
        <w:pBdr>
          <w:top w:val="nil"/>
          <w:left w:val="nil"/>
          <w:bottom w:val="nil"/>
          <w:right w:val="nil"/>
          <w:between w:val="nil"/>
        </w:pBdr>
        <w:contextualSpacing/>
        <w:rPr>
          <w:rFonts w:ascii="Arial" w:hAnsi="Arial" w:cs="Arial"/>
          <w:color w:val="000000"/>
          <w:sz w:val="20"/>
          <w:szCs w:val="20"/>
        </w:rPr>
        <w:sectPr w:rsidR="00D3701A" w:rsidRPr="003F7BF2" w:rsidSect="007B093C">
          <w:pgSz w:w="12240" w:h="15840"/>
          <w:pgMar w:top="1440" w:right="1800" w:bottom="1440" w:left="1800" w:header="720" w:footer="720" w:gutter="0"/>
          <w:lnNumType w:countBy="1" w:restart="continuous"/>
          <w:cols w:space="720"/>
          <w:docGrid w:linePitch="299"/>
        </w:sectPr>
      </w:pPr>
    </w:p>
    <w:p w14:paraId="541A5DA9" w14:textId="00E064BB" w:rsidR="00980C22" w:rsidRPr="003F7BF2" w:rsidRDefault="00F572E5" w:rsidP="00D3701A">
      <w:pPr>
        <w:pBdr>
          <w:top w:val="nil"/>
          <w:left w:val="nil"/>
          <w:bottom w:val="nil"/>
          <w:right w:val="nil"/>
          <w:between w:val="nil"/>
        </w:pBdr>
        <w:contextualSpacing/>
        <w:rPr>
          <w:rFonts w:ascii="Arial" w:hAnsi="Arial" w:cs="Arial"/>
          <w:color w:val="000000"/>
          <w:sz w:val="20"/>
          <w:szCs w:val="20"/>
        </w:rPr>
      </w:pPr>
      <w:r w:rsidRPr="003F7BF2">
        <w:rPr>
          <w:rFonts w:ascii="Arial" w:hAnsi="Arial" w:cs="Arial"/>
          <w:noProof/>
          <w:color w:val="000000"/>
          <w:sz w:val="20"/>
          <w:szCs w:val="20"/>
        </w:rPr>
        <w:lastRenderedPageBreak/>
        <w:drawing>
          <wp:inline distT="0" distB="0" distL="0" distR="0" wp14:anchorId="3B850AA3" wp14:editId="2F0CEBC2">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A06F7" w14:textId="77777777" w:rsidR="00F97C53" w:rsidRDefault="00F97C53">
      <w:pPr>
        <w:spacing w:after="0"/>
      </w:pPr>
      <w:r>
        <w:separator/>
      </w:r>
    </w:p>
  </w:endnote>
  <w:endnote w:type="continuationSeparator" w:id="0">
    <w:p w14:paraId="1A9F8940" w14:textId="77777777" w:rsidR="00F97C53" w:rsidRDefault="00F97C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4DFE" w14:textId="77777777" w:rsidR="00F97C53" w:rsidRDefault="00F97C53">
      <w:pPr>
        <w:spacing w:after="0"/>
      </w:pPr>
      <w:r>
        <w:separator/>
      </w:r>
    </w:p>
  </w:footnote>
  <w:footnote w:type="continuationSeparator" w:id="0">
    <w:p w14:paraId="54F9FD66" w14:textId="77777777" w:rsidR="00F97C53" w:rsidRDefault="00F97C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3F7BF2"/>
    <w:rsid w:val="00405C25"/>
    <w:rsid w:val="00412482"/>
    <w:rsid w:val="0043548B"/>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13C78"/>
    <w:rsid w:val="00E300A4"/>
    <w:rsid w:val="00E378A2"/>
    <w:rsid w:val="00E50558"/>
    <w:rsid w:val="00E5440A"/>
    <w:rsid w:val="00E56B02"/>
    <w:rsid w:val="00E604B8"/>
    <w:rsid w:val="00E6133D"/>
    <w:rsid w:val="00E65523"/>
    <w:rsid w:val="00E65BC9"/>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97C53"/>
    <w:rsid w:val="00FA04B8"/>
    <w:rsid w:val="00FA2DD2"/>
    <w:rsid w:val="00FB2304"/>
    <w:rsid w:val="00FC22E2"/>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7</Pages>
  <Words>2451</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4</cp:revision>
  <dcterms:created xsi:type="dcterms:W3CDTF">2026-04-07T23:22:00Z</dcterms:created>
  <dcterms:modified xsi:type="dcterms:W3CDTF">2026-04-16T12:40:00Z</dcterms:modified>
</cp:coreProperties>
</file>