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32"/>
          <w:szCs w:val="32"/>
          <w:highlight w:val="white"/>
        </w:rPr>
      </w:pPr>
      <w:r>
        <w:rPr>
          <w:b/>
          <w:sz w:val="40"/>
        </w:rPr>
        <w:t>Dashboard Design</w:t>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90" w:type="dxa"/>
              <w:left w:w="100.0" w:type="dxa"/>
              <w:bottom w:w="90" w:type="dxa"/>
              <w:right w:w="100.0" w:type="dxa"/>
              <w:start w:w="110" w:type="dxa"/>
              <w:end w:w="110" w:type="dxa"/>
            </w:tcMar>
            <w:vAlign w:val="center"/>
          </w:tcPr>
          <w:p>
            <w:r>
              <w:rPr>
                <w:b/>
                <w:sz w:val="21"/>
              </w:rPr>
              <w:t>Date</w:t>
            </w:r>
          </w:p>
        </w:tc>
        <w:tc>
          <w:tcPr>
            <w:shd w:fill="auto" w:val="clear"/>
            <w:tcMar>
              <w:top w:w="90" w:type="dxa"/>
              <w:left w:w="100.0" w:type="dxa"/>
              <w:bottom w:w="90" w:type="dxa"/>
              <w:right w:w="100.0" w:type="dxa"/>
              <w:start w:w="110" w:type="dxa"/>
              <w:end w:w="110" w:type="dxa"/>
            </w:tcMar>
            <w:vAlign w:val="center"/>
          </w:tcPr>
          <w:p>
            <w:r>
              <w:rPr>
                <w:sz w:val="21"/>
              </w:rPr>
              <w:t>31 July 2026</w:t>
            </w:r>
          </w:p>
        </w:tc>
      </w:tr>
      <w:tr>
        <w:trPr>
          <w:cantSplit w:val="0"/>
          <w:trHeight w:val="278" w:hRule="atLeast"/>
          <w:tblHeader w:val="0"/>
        </w:trPr>
        <w:tc>
          <w:tcPr>
            <w:shd w:fill="auto" w:val="clear"/>
            <w:tcMar>
              <w:top w:w="90" w:type="dxa"/>
              <w:left w:w="100.0" w:type="dxa"/>
              <w:bottom w:w="90" w:type="dxa"/>
              <w:right w:w="100.0" w:type="dxa"/>
              <w:start w:w="110" w:type="dxa"/>
              <w:end w:w="110" w:type="dxa"/>
            </w:tcMar>
            <w:vAlign w:val="center"/>
          </w:tcPr>
          <w:p>
            <w:r>
              <w:rPr>
                <w:b/>
                <w:sz w:val="21"/>
              </w:rPr>
              <w:t>Team ID</w:t>
            </w:r>
          </w:p>
        </w:tc>
        <w:tc>
          <w:tcPr>
            <w:shd w:fill="auto" w:val="clear"/>
            <w:tcMar>
              <w:top w:w="90" w:type="dxa"/>
              <w:left w:w="100.0" w:type="dxa"/>
              <w:bottom w:w="90" w:type="dxa"/>
              <w:right w:w="100.0" w:type="dxa"/>
              <w:start w:w="110" w:type="dxa"/>
              <w:end w:w="110" w:type="dxa"/>
            </w:tcMar>
            <w:vAlign w:val="center"/>
          </w:tcPr>
          <w:p>
            <w:r>
              <w:rPr>
                <w:sz w:val="21"/>
              </w:rPr>
              <w:t>Mehek Chop</w:t>
            </w:r>
          </w:p>
        </w:tc>
      </w:tr>
      <w:tr>
        <w:trPr>
          <w:cantSplit w:val="0"/>
          <w:trHeight w:val="278" w:hRule="atLeast"/>
          <w:tblHeader w:val="0"/>
        </w:trPr>
        <w:tc>
          <w:tcPr>
            <w:shd w:fill="auto" w:val="clear"/>
            <w:tcMar>
              <w:top w:w="90" w:type="dxa"/>
              <w:left w:w="100.0" w:type="dxa"/>
              <w:bottom w:w="90" w:type="dxa"/>
              <w:right w:w="100.0" w:type="dxa"/>
              <w:start w:w="110" w:type="dxa"/>
              <w:end w:w="110" w:type="dxa"/>
            </w:tcMar>
            <w:vAlign w:val="center"/>
          </w:tcPr>
          <w:p>
            <w:r>
              <w:rPr>
                <w:b/>
                <w:sz w:val="21"/>
              </w:rPr>
              <w:t>Project Name</w:t>
            </w:r>
          </w:p>
        </w:tc>
        <w:tc>
          <w:tcPr>
            <w:shd w:fill="auto" w:val="clear"/>
            <w:tcMar>
              <w:top w:w="90" w:type="dxa"/>
              <w:left w:w="100.0" w:type="dxa"/>
              <w:bottom w:w="90" w:type="dxa"/>
              <w:right w:w="100.0" w:type="dxa"/>
              <w:start w:w="110" w:type="dxa"/>
              <w:end w:w="110" w:type="dxa"/>
            </w:tcMar>
            <w:vAlign w:val="center"/>
          </w:tcPr>
          <w:p>
            <w:r>
              <w:rPr>
                <w:sz w:val="21"/>
              </w:rPr>
              <w:t>Food Ordering Behaviour Analysis</w:t>
            </w:r>
          </w:p>
        </w:tc>
      </w:tr>
      <w:tr>
        <w:trPr>
          <w:cantSplit w:val="0"/>
          <w:trHeight w:val="278" w:hRule="atLeast"/>
          <w:tblHeader w:val="0"/>
        </w:trPr>
        <w:tc>
          <w:tcPr>
            <w:shd w:fill="auto" w:val="clear"/>
            <w:tcMar>
              <w:top w:w="90" w:type="dxa"/>
              <w:left w:w="100.0" w:type="dxa"/>
              <w:bottom w:w="90" w:type="dxa"/>
              <w:right w:w="100.0" w:type="dxa"/>
              <w:start w:w="110" w:type="dxa"/>
              <w:end w:w="110" w:type="dxa"/>
            </w:tcMar>
            <w:vAlign w:val="center"/>
          </w:tcPr>
          <w:p>
            <w:r>
              <w:rPr>
                <w:b/>
                <w:sz w:val="21"/>
              </w:rPr>
              <w:t>Maximum Marks</w:t>
            </w:r>
          </w:p>
        </w:tc>
        <w:tc>
          <w:tcPr>
            <w:shd w:fill="auto" w:val="clear"/>
            <w:tcMar>
              <w:top w:w="90" w:type="dxa"/>
              <w:left w:w="100.0" w:type="dxa"/>
              <w:bottom w:w="90" w:type="dxa"/>
              <w:right w:w="100.0" w:type="dxa"/>
              <w:start w:w="110" w:type="dxa"/>
              <w:end w:w="110" w:type="dxa"/>
            </w:tcMar>
            <w:vAlign w:val="center"/>
          </w:tcPr>
          <w:p>
            <w:r>
              <w:rPr>
                <w:sz w:val="21"/>
              </w:rPr>
              <w:t>5 Marks</w:t>
            </w:r>
          </w:p>
        </w:tc>
      </w:tr>
    </w:tbl>
    <w:p w:rsidR="00000000" w:rsidDel="00000000" w:rsidP="00000000" w:rsidRDefault="00000000" w:rsidRPr="00000000" w14:paraId="0000000C">
      <w:pPr>
        <w:pStyle w:val="Heading3"/>
        <w:keepNext w:val="0"/>
        <w:keepLines w:val="0"/>
        <w:spacing w:line="240" w:lineRule="auto"/>
        <w:rPr>
          <w:sz w:val="26"/>
          <w:szCs w:val="26"/>
        </w:rPr>
      </w:pPr>
      <w:bookmarkStart w:colFirst="0" w:colLast="0" w:name="_heading=h.racv9lbqlh9k" w:id="0"/>
      <w:bookmarkEnd w:id="0"/>
      <w:r w:rsidDel="00000000" w:rsidR="00000000" w:rsidRPr="00000000">
        <w:rPr>
          <w:sz w:val="26"/>
          <w:szCs w:val="26"/>
          <w:rtl w:val="0"/>
        </w:rPr>
        <w:t xml:space="preserve">Activity 1: Interactive and Visually Appealing Dashboards</w:t>
      </w:r>
    </w:p>
    <w:p/>
    <w:p>
      <w:r>
        <w:rPr>
          <w:b/>
          <w:sz w:val="30"/>
        </w:rPr>
        <w:t>Activity 1: Interactive and Visually Appealing Dashboards</w:t>
      </w:r>
    </w:p>
    <w:p>
      <w:r>
        <w:t>The Food Ordering Behaviour Analysis dashboard uses interactive Tableau visuals to examine customer ordering patterns across cities, weather, ratings, age groups, cuisines, restaurant types, spending, meal type, day type and customer mood. Of the 11 defined business questions, Questions 2 and 7 were not included in the final dashboard; the remaining 9 questions are represented.</w:t>
      </w:r>
    </w:p>
    <w:p>
      <w:r>
        <w:rPr>
          <w:b/>
          <w:sz w:val="26"/>
        </w:rPr>
        <w:t>Dashboard Visual Coverage</w:t>
      </w:r>
    </w:p>
    <w:tbl>
      <w:tblPr>
        <w:tblW w:type="auto" w:w="0"/>
        <w:jc w:val="center"/>
        <w:tblLook w:firstColumn="1" w:firstRow="1" w:lastColumn="0" w:lastRow="0" w:noHBand="0" w:noVBand="1" w:val="04A0"/>
      </w:tblPr>
      <w:tblGrid>
        <w:gridCol w:w="3009"/>
        <w:gridCol w:w="3009"/>
        <w:gridCol w:w="3009"/>
      </w:tblGrid>
      <w:tr>
        <w:trPr>
          <w:tblHeader w:val="true"/>
        </w:trPr>
        <w:tc>
          <w:tcPr>
            <w:tcW w:type="dxa" w:w="3009"/>
            <w:shd w:fill="D9EAF7"/>
          </w:tcPr>
          <w:p>
            <w:r>
              <w:rPr>
                <w:b/>
              </w:rPr>
              <w:t>Question</w:t>
            </w:r>
          </w:p>
        </w:tc>
        <w:tc>
          <w:tcPr>
            <w:tcW w:type="dxa" w:w="3009"/>
            <w:shd w:fill="D9EAF7"/>
          </w:tcPr>
          <w:p>
            <w:r>
              <w:rPr>
                <w:b/>
              </w:rPr>
              <w:t>Business Question</w:t>
            </w:r>
          </w:p>
        </w:tc>
        <w:tc>
          <w:tcPr>
            <w:tcW w:type="dxa" w:w="3009"/>
            <w:shd w:fill="D9EAF7"/>
          </w:tcPr>
          <w:p>
            <w:r>
              <w:rPr>
                <w:b/>
              </w:rPr>
              <w:t>Visual Used</w:t>
            </w:r>
          </w:p>
        </w:tc>
      </w:tr>
      <w:tr>
        <w:tc>
          <w:tcPr>
            <w:tcW w:type="dxa" w:w="3009"/>
            <w:tcMar>
              <w:top w:w="90" w:type="dxa"/>
              <w:start w:w="110" w:type="dxa"/>
              <w:bottom w:w="90" w:type="dxa"/>
              <w:end w:w="110" w:type="dxa"/>
            </w:tcMar>
            <w:vAlign w:val="center"/>
          </w:tcPr>
          <w:p>
            <w:r>
              <w:rPr>
                <w:b/>
                <w:sz w:val="18"/>
              </w:rPr>
              <w:t>Q1</w:t>
            </w:r>
          </w:p>
        </w:tc>
        <w:tc>
          <w:tcPr>
            <w:tcW w:type="dxa" w:w="3009"/>
            <w:tcMar>
              <w:top w:w="90" w:type="dxa"/>
              <w:start w:w="110" w:type="dxa"/>
              <w:bottom w:w="90" w:type="dxa"/>
              <w:end w:w="110" w:type="dxa"/>
            </w:tcMar>
            <w:vAlign w:val="center"/>
          </w:tcPr>
          <w:p>
            <w:r>
              <w:rPr>
                <w:sz w:val="18"/>
              </w:rPr>
              <w:t>Which cities generate the highest order value?</w:t>
            </w:r>
          </w:p>
        </w:tc>
        <w:tc>
          <w:tcPr>
            <w:tcW w:type="dxa" w:w="3009"/>
            <w:tcMar>
              <w:top w:w="90" w:type="dxa"/>
              <w:start w:w="110" w:type="dxa"/>
              <w:bottom w:w="90" w:type="dxa"/>
              <w:end w:w="110" w:type="dxa"/>
            </w:tcMar>
            <w:vAlign w:val="center"/>
          </w:tcPr>
          <w:p>
            <w:r>
              <w:rPr>
                <w:sz w:val="18"/>
              </w:rPr>
              <w:t>Map Chart</w:t>
            </w:r>
          </w:p>
        </w:tc>
      </w:tr>
      <w:tr>
        <w:tc>
          <w:tcPr>
            <w:tcW w:type="dxa" w:w="3009"/>
            <w:tcMar>
              <w:top w:w="90" w:type="dxa"/>
              <w:start w:w="110" w:type="dxa"/>
              <w:bottom w:w="90" w:type="dxa"/>
              <w:end w:w="110" w:type="dxa"/>
            </w:tcMar>
            <w:vAlign w:val="center"/>
          </w:tcPr>
          <w:p>
            <w:r>
              <w:rPr>
                <w:b/>
                <w:sz w:val="18"/>
              </w:rPr>
              <w:t>Q3</w:t>
            </w:r>
          </w:p>
        </w:tc>
        <w:tc>
          <w:tcPr>
            <w:tcW w:type="dxa" w:w="3009"/>
            <w:tcMar>
              <w:top w:w="90" w:type="dxa"/>
              <w:start w:w="110" w:type="dxa"/>
              <w:bottom w:w="90" w:type="dxa"/>
              <w:end w:w="110" w:type="dxa"/>
            </w:tcMar>
            <w:vAlign w:val="center"/>
          </w:tcPr>
          <w:p>
            <w:r>
              <w:rPr>
                <w:sz w:val="18"/>
              </w:rPr>
              <w:t>How does rainy weather influence order value across different times of the day?</w:t>
            </w:r>
          </w:p>
        </w:tc>
        <w:tc>
          <w:tcPr>
            <w:tcW w:type="dxa" w:w="3009"/>
            <w:tcMar>
              <w:top w:w="90" w:type="dxa"/>
              <w:start w:w="110" w:type="dxa"/>
              <w:bottom w:w="90" w:type="dxa"/>
              <w:end w:w="110" w:type="dxa"/>
            </w:tcMar>
            <w:vAlign w:val="center"/>
          </w:tcPr>
          <w:p>
            <w:r>
              <w:rPr>
                <w:sz w:val="18"/>
              </w:rPr>
              <w:t>Side-by-Side Bar Chart</w:t>
            </w:r>
          </w:p>
        </w:tc>
      </w:tr>
      <w:tr>
        <w:tc>
          <w:tcPr>
            <w:tcW w:type="dxa" w:w="3009"/>
            <w:tcMar>
              <w:top w:w="90" w:type="dxa"/>
              <w:start w:w="110" w:type="dxa"/>
              <w:bottom w:w="90" w:type="dxa"/>
              <w:end w:w="110" w:type="dxa"/>
            </w:tcMar>
            <w:vAlign w:val="center"/>
          </w:tcPr>
          <w:p>
            <w:r>
              <w:rPr>
                <w:b/>
                <w:sz w:val="18"/>
              </w:rPr>
              <w:t>Q4</w:t>
            </w:r>
          </w:p>
        </w:tc>
        <w:tc>
          <w:tcPr>
            <w:tcW w:type="dxa" w:w="3009"/>
            <w:tcMar>
              <w:top w:w="90" w:type="dxa"/>
              <w:start w:w="110" w:type="dxa"/>
              <w:bottom w:w="90" w:type="dxa"/>
              <w:end w:w="110" w:type="dxa"/>
            </w:tcMar>
            <w:vAlign w:val="center"/>
          </w:tcPr>
          <w:p>
            <w:r>
              <w:rPr>
                <w:sz w:val="18"/>
              </w:rPr>
              <w:t>How do customer ratings influence repeat orders among different age groups?</w:t>
            </w:r>
          </w:p>
        </w:tc>
        <w:tc>
          <w:tcPr>
            <w:tcW w:type="dxa" w:w="3009"/>
            <w:tcMar>
              <w:top w:w="90" w:type="dxa"/>
              <w:start w:w="110" w:type="dxa"/>
              <w:bottom w:w="90" w:type="dxa"/>
              <w:end w:w="110" w:type="dxa"/>
            </w:tcMar>
            <w:vAlign w:val="center"/>
          </w:tcPr>
          <w:p>
            <w:r>
              <w:rPr>
                <w:sz w:val="18"/>
              </w:rPr>
              <w:t>Stacked Bar Chart</w:t>
            </w:r>
          </w:p>
        </w:tc>
      </w:tr>
      <w:tr>
        <w:tc>
          <w:tcPr>
            <w:tcW w:type="dxa" w:w="3009"/>
            <w:tcMar>
              <w:top w:w="90" w:type="dxa"/>
              <w:start w:w="110" w:type="dxa"/>
              <w:bottom w:w="90" w:type="dxa"/>
              <w:end w:w="110" w:type="dxa"/>
            </w:tcMar>
            <w:vAlign w:val="center"/>
          </w:tcPr>
          <w:p>
            <w:r>
              <w:rPr>
                <w:b/>
                <w:sz w:val="18"/>
              </w:rPr>
              <w:t>Q5</w:t>
            </w:r>
          </w:p>
        </w:tc>
        <w:tc>
          <w:tcPr>
            <w:tcW w:type="dxa" w:w="3009"/>
            <w:tcMar>
              <w:top w:w="90" w:type="dxa"/>
              <w:start w:w="110" w:type="dxa"/>
              <w:bottom w:w="90" w:type="dxa"/>
              <w:end w:w="110" w:type="dxa"/>
            </w:tcMar>
            <w:vAlign w:val="center"/>
          </w:tcPr>
          <w:p>
            <w:r>
              <w:rPr>
                <w:sz w:val="18"/>
              </w:rPr>
              <w:t>Does hunger level affect spending on different cuisines?</w:t>
            </w:r>
          </w:p>
        </w:tc>
        <w:tc>
          <w:tcPr>
            <w:tcW w:type="dxa" w:w="3009"/>
            <w:tcMar>
              <w:top w:w="90" w:type="dxa"/>
              <w:start w:w="110" w:type="dxa"/>
              <w:bottom w:w="90" w:type="dxa"/>
              <w:end w:w="110" w:type="dxa"/>
            </w:tcMar>
            <w:vAlign w:val="center"/>
          </w:tcPr>
          <w:p>
            <w:r>
              <w:rPr>
                <w:sz w:val="18"/>
              </w:rPr>
              <w:t>Horizontal Bar Chart</w:t>
            </w:r>
          </w:p>
        </w:tc>
      </w:tr>
      <w:tr>
        <w:tc>
          <w:tcPr>
            <w:tcW w:type="dxa" w:w="3009"/>
            <w:tcMar>
              <w:top w:w="90" w:type="dxa"/>
              <w:start w:w="110" w:type="dxa"/>
              <w:bottom w:w="90" w:type="dxa"/>
              <w:end w:w="110" w:type="dxa"/>
            </w:tcMar>
            <w:vAlign w:val="center"/>
          </w:tcPr>
          <w:p>
            <w:r>
              <w:rPr>
                <w:b/>
                <w:sz w:val="18"/>
              </w:rPr>
              <w:t>Q6</w:t>
            </w:r>
          </w:p>
        </w:tc>
        <w:tc>
          <w:tcPr>
            <w:tcW w:type="dxa" w:w="3009"/>
            <w:tcMar>
              <w:top w:w="90" w:type="dxa"/>
              <w:start w:w="110" w:type="dxa"/>
              <w:bottom w:w="90" w:type="dxa"/>
              <w:end w:w="110" w:type="dxa"/>
            </w:tcMar>
            <w:vAlign w:val="center"/>
          </w:tcPr>
          <w:p>
            <w:r>
              <w:rPr>
                <w:sz w:val="18"/>
              </w:rPr>
              <w:t>How do customer rating categories vary across different restaurant types based on the customer’s dining company?</w:t>
            </w:r>
          </w:p>
        </w:tc>
        <w:tc>
          <w:tcPr>
            <w:tcW w:type="dxa" w:w="3009"/>
            <w:tcMar>
              <w:top w:w="90" w:type="dxa"/>
              <w:start w:w="110" w:type="dxa"/>
              <w:bottom w:w="90" w:type="dxa"/>
              <w:end w:w="110" w:type="dxa"/>
            </w:tcMar>
            <w:vAlign w:val="center"/>
          </w:tcPr>
          <w:p>
            <w:r>
              <w:rPr>
                <w:sz w:val="18"/>
              </w:rPr>
              <w:t>Packed Bubble Chart</w:t>
            </w:r>
          </w:p>
        </w:tc>
      </w:tr>
      <w:tr>
        <w:tc>
          <w:tcPr>
            <w:tcW w:type="dxa" w:w="3009"/>
            <w:tcMar>
              <w:top w:w="90" w:type="dxa"/>
              <w:start w:w="110" w:type="dxa"/>
              <w:bottom w:w="90" w:type="dxa"/>
              <w:end w:w="110" w:type="dxa"/>
            </w:tcMar>
            <w:vAlign w:val="center"/>
          </w:tcPr>
          <w:p>
            <w:r>
              <w:rPr>
                <w:b/>
                <w:sz w:val="18"/>
              </w:rPr>
              <w:t>Q8</w:t>
            </w:r>
          </w:p>
        </w:tc>
        <w:tc>
          <w:tcPr>
            <w:tcW w:type="dxa" w:w="3009"/>
            <w:tcMar>
              <w:top w:w="90" w:type="dxa"/>
              <w:start w:w="110" w:type="dxa"/>
              <w:bottom w:w="90" w:type="dxa"/>
              <w:end w:w="110" w:type="dxa"/>
            </w:tcMar>
            <w:vAlign w:val="center"/>
          </w:tcPr>
          <w:p>
            <w:r>
              <w:rPr>
                <w:sz w:val="18"/>
              </w:rPr>
              <w:t>How do average customer ratings vary across different age groups and cities?</w:t>
            </w:r>
          </w:p>
        </w:tc>
        <w:tc>
          <w:tcPr>
            <w:tcW w:type="dxa" w:w="3009"/>
            <w:tcMar>
              <w:top w:w="90" w:type="dxa"/>
              <w:start w:w="110" w:type="dxa"/>
              <w:bottom w:w="90" w:type="dxa"/>
              <w:end w:w="110" w:type="dxa"/>
            </w:tcMar>
            <w:vAlign w:val="center"/>
          </w:tcPr>
          <w:p>
            <w:r>
              <w:rPr>
                <w:sz w:val="18"/>
              </w:rPr>
              <w:t>Heat Map</w:t>
            </w:r>
          </w:p>
        </w:tc>
      </w:tr>
      <w:tr>
        <w:tc>
          <w:tcPr>
            <w:tcW w:type="dxa" w:w="3009"/>
            <w:tcMar>
              <w:top w:w="90" w:type="dxa"/>
              <w:start w:w="110" w:type="dxa"/>
              <w:bottom w:w="90" w:type="dxa"/>
              <w:end w:w="110" w:type="dxa"/>
            </w:tcMar>
            <w:vAlign w:val="center"/>
          </w:tcPr>
          <w:p>
            <w:r>
              <w:rPr>
                <w:b/>
                <w:sz w:val="18"/>
              </w:rPr>
              <w:t>Q9</w:t>
            </w:r>
          </w:p>
        </w:tc>
        <w:tc>
          <w:tcPr>
            <w:tcW w:type="dxa" w:w="3009"/>
            <w:tcMar>
              <w:top w:w="90" w:type="dxa"/>
              <w:start w:w="110" w:type="dxa"/>
              <w:bottom w:w="90" w:type="dxa"/>
              <w:end w:w="110" w:type="dxa"/>
            </w:tcMar>
            <w:vAlign w:val="center"/>
          </w:tcPr>
          <w:p>
            <w:r>
              <w:rPr>
                <w:sz w:val="18"/>
              </w:rPr>
              <w:t>How do rainy weather, discount offers, and customer mood influence customer spendings?</w:t>
            </w:r>
          </w:p>
        </w:tc>
        <w:tc>
          <w:tcPr>
            <w:tcW w:type="dxa" w:w="3009"/>
            <w:tcMar>
              <w:top w:w="90" w:type="dxa"/>
              <w:start w:w="110" w:type="dxa"/>
              <w:bottom w:w="90" w:type="dxa"/>
              <w:end w:w="110" w:type="dxa"/>
            </w:tcMar>
            <w:vAlign w:val="center"/>
          </w:tcPr>
          <w:p>
            <w:r>
              <w:rPr>
                <w:sz w:val="18"/>
              </w:rPr>
              <w:t>Radial Chart</w:t>
            </w:r>
          </w:p>
        </w:tc>
      </w:tr>
      <w:tr>
        <w:tc>
          <w:tcPr>
            <w:tcW w:type="dxa" w:w="3009"/>
            <w:tcMar>
              <w:top w:w="90" w:type="dxa"/>
              <w:start w:w="110" w:type="dxa"/>
              <w:bottom w:w="90" w:type="dxa"/>
              <w:end w:w="110" w:type="dxa"/>
            </w:tcMar>
            <w:vAlign w:val="center"/>
          </w:tcPr>
          <w:p>
            <w:r>
              <w:rPr>
                <w:b/>
                <w:sz w:val="18"/>
              </w:rPr>
              <w:t>Q10</w:t>
            </w:r>
          </w:p>
        </w:tc>
        <w:tc>
          <w:tcPr>
            <w:tcW w:type="dxa" w:w="3009"/>
            <w:tcMar>
              <w:top w:w="90" w:type="dxa"/>
              <w:start w:w="110" w:type="dxa"/>
              <w:bottom w:w="90" w:type="dxa"/>
              <w:end w:w="110" w:type="dxa"/>
            </w:tcMar>
            <w:vAlign w:val="center"/>
          </w:tcPr>
          <w:p>
            <w:r>
              <w:rPr>
                <w:sz w:val="18"/>
              </w:rPr>
              <w:t>Analysis of meal type and day type simultaneously on the basis of delivery fee and time taken to order.</w:t>
            </w:r>
          </w:p>
        </w:tc>
        <w:tc>
          <w:tcPr>
            <w:tcW w:type="dxa" w:w="3009"/>
            <w:tcMar>
              <w:top w:w="90" w:type="dxa"/>
              <w:start w:w="110" w:type="dxa"/>
              <w:bottom w:w="90" w:type="dxa"/>
              <w:end w:w="110" w:type="dxa"/>
            </w:tcMar>
            <w:vAlign w:val="center"/>
          </w:tcPr>
          <w:p>
            <w:r>
              <w:rPr>
                <w:sz w:val="18"/>
              </w:rPr>
              <w:t>Comparative / Combined Chart</w:t>
            </w:r>
          </w:p>
        </w:tc>
      </w:tr>
      <w:tr>
        <w:tc>
          <w:tcPr>
            <w:tcW w:type="dxa" w:w="3009"/>
            <w:tcMar>
              <w:top w:w="90" w:type="dxa"/>
              <w:start w:w="110" w:type="dxa"/>
              <w:bottom w:w="90" w:type="dxa"/>
              <w:end w:w="110" w:type="dxa"/>
            </w:tcMar>
            <w:vAlign w:val="center"/>
          </w:tcPr>
          <w:p>
            <w:r>
              <w:rPr>
                <w:b/>
                <w:sz w:val="18"/>
              </w:rPr>
              <w:t>Q11</w:t>
            </w:r>
          </w:p>
        </w:tc>
        <w:tc>
          <w:tcPr>
            <w:tcW w:type="dxa" w:w="3009"/>
            <w:tcMar>
              <w:top w:w="90" w:type="dxa"/>
              <w:start w:w="110" w:type="dxa"/>
              <w:bottom w:w="90" w:type="dxa"/>
              <w:end w:w="110" w:type="dxa"/>
            </w:tcMar>
            <w:vAlign w:val="center"/>
          </w:tcPr>
          <w:p>
            <w:r>
              <w:rPr>
                <w:sz w:val="18"/>
              </w:rPr>
              <w:t>Variation of meal type ordered with variation in mood.</w:t>
            </w:r>
          </w:p>
        </w:tc>
        <w:tc>
          <w:tcPr>
            <w:tcW w:type="dxa" w:w="3009"/>
            <w:tcMar>
              <w:top w:w="90" w:type="dxa"/>
              <w:start w:w="110" w:type="dxa"/>
              <w:bottom w:w="90" w:type="dxa"/>
              <w:end w:w="110" w:type="dxa"/>
            </w:tcMar>
            <w:vAlign w:val="center"/>
          </w:tcPr>
          <w:p>
            <w:r>
              <w:rPr>
                <w:sz w:val="18"/>
              </w:rPr>
              <w:t>Comparison Chart</w:t>
            </w:r>
          </w:p>
        </w:tc>
      </w:tr>
    </w:tbl>
    <w:p>
      <w:r>
        <w:rPr>
          <w:b/>
        </w:rPr>
        <w:t xml:space="preserve">Excluded from final dashboard: </w:t>
      </w:r>
      <w:r>
        <w:t>Q2 (cuisine ratings across meal types) and Q7 (highest order value by time of day for each hunger level) were part of the original 11-question analysis set but were not used in the final dashboard.</w:t>
      </w:r>
    </w:p>
    <w:p>
      <w:r>
        <w:rPr>
          <w:b/>
          <w:sz w:val="26"/>
        </w:rPr>
        <w:t>Key Analytical Areas Covered</w:t>
      </w:r>
    </w:p>
    <w:p>
      <w:pPr>
        <w:ind w:left="288"/>
      </w:pPr>
      <w:r>
        <w:rPr>
          <w:b/>
        </w:rPr>
        <w:t xml:space="preserve">• Geographical Order Value (Q1): </w:t>
      </w:r>
      <w:r>
        <w:t>The map visual supports comparison of order value across cities and helps identify locations with stronger customer spending.</w:t>
      </w:r>
    </w:p>
    <w:p>
      <w:pPr>
        <w:ind w:left="288"/>
      </w:pPr>
      <w:r>
        <w:rPr>
          <w:b/>
        </w:rPr>
        <w:t xml:space="preserve">• Weather &amp; Time Behaviour (Q3): </w:t>
      </w:r>
      <w:r>
        <w:t>The dashboard compares rainy and non-rainy conditions across times of day to evaluate their relationship with order value.</w:t>
      </w:r>
    </w:p>
    <w:p>
      <w:pPr>
        <w:ind w:left="288"/>
      </w:pPr>
      <w:r>
        <w:rPr>
          <w:b/>
        </w:rPr>
        <w:t xml:space="preserve">• Ratings &amp; Repeat Ordering (Q4): </w:t>
      </w:r>
      <w:r>
        <w:t>Age-group comparisons are used to examine how customer rating levels relate to repeat-order behaviour.</w:t>
      </w:r>
    </w:p>
    <w:p>
      <w:pPr>
        <w:ind w:left="288"/>
      </w:pPr>
      <w:r>
        <w:rPr>
          <w:b/>
        </w:rPr>
        <w:t xml:space="preserve">• Hunger, Cuisine &amp; Spending (Q5): </w:t>
      </w:r>
      <w:r>
        <w:t>Cuisine-wise spending is compared across hunger levels to identify differences in customer spending behaviour.</w:t>
      </w:r>
    </w:p>
    <w:p>
      <w:pPr>
        <w:ind w:left="288"/>
      </w:pPr>
      <w:r>
        <w:rPr>
          <w:b/>
        </w:rPr>
        <w:t xml:space="preserve">• Restaurant Type &amp; Dining Company (Q6): </w:t>
      </w:r>
      <w:r>
        <w:t>The packed bubble view compares rating categories across restaurant types and dining-company groups.</w:t>
      </w:r>
    </w:p>
    <w:p>
      <w:pPr>
        <w:ind w:left="288"/>
      </w:pPr>
      <w:r>
        <w:rPr>
          <w:b/>
        </w:rPr>
        <w:t xml:space="preserve">• Age, City &amp; Ratings (Q8): </w:t>
      </w:r>
      <w:r>
        <w:t>The heat map enables simultaneous comparison of average customer ratings by age group and city.</w:t>
      </w:r>
    </w:p>
    <w:p>
      <w:pPr>
        <w:ind w:left="288"/>
      </w:pPr>
      <w:r>
        <w:rPr>
          <w:b/>
        </w:rPr>
        <w:t xml:space="preserve">• Weather, Discounts &amp; Mood (Q9): </w:t>
      </w:r>
      <w:r>
        <w:t>The radial visual brings together rainy weather, discount offers and customer mood in relation to customer spending.</w:t>
      </w:r>
    </w:p>
    <w:p>
      <w:pPr>
        <w:ind w:left="288"/>
      </w:pPr>
      <w:r>
        <w:rPr>
          <w:b/>
        </w:rPr>
        <w:t xml:space="preserve">• Meal Type, Day Type &amp; Delivery (Q10): </w:t>
      </w:r>
      <w:r>
        <w:t>Meal type and day type are analysed together using delivery fee and time taken to place an order.</w:t>
      </w:r>
    </w:p>
    <w:p>
      <w:pPr>
        <w:ind w:left="288"/>
      </w:pPr>
      <w:r>
        <w:rPr>
          <w:b/>
        </w:rPr>
        <w:t xml:space="preserve">• Meal Type &amp; Mood (Q11): </w:t>
      </w:r>
      <w:r>
        <w:t>The dashboard compares how meal-type choices vary with changes in customer mood.</w:t>
      </w:r>
    </w:p>
    <w:p>
      <w:r>
        <w:rPr>
          <w:b/>
          <w:sz w:val="26"/>
        </w:rPr>
        <w:t>Dashboard Design Principles</w:t>
      </w:r>
    </w:p>
    <w:p>
      <w:r>
        <w:t>The dashboard follows a clear and intuitive layout, consistent visual theming, interactive filtering where applicable, and a compact arrangement of nine analytical visuals. The design is intended to make comparisons across customer characteristics and ordering conditions easy to interpret.</w:t>
      </w:r>
    </w:p>
    <w:p>
      <w:pPr>
        <w:pageBreakBefore/>
        <w:jc w:val="center"/>
      </w:pPr>
      <w:r>
        <w:rPr>
          <w:b/>
          <w:sz w:val="32"/>
        </w:rPr>
        <w:t>Dashboard Visuals</w:t>
      </w:r>
    </w:p>
    <w:p>
      <w:r>
        <w:t>The following visuals are the dashboard screenshots supplied for the Food Ordering Behaviour Analysis project. They are included as evidence of the nine analytical visuals used in the final dashboard.</w:t>
      </w:r>
    </w:p>
    <w:p>
      <w:pPr>
        <w:jc w:val="center"/>
      </w:pPr>
      <w:r>
        <w:drawing>
          <wp:inline>
            <wp:extent cx="5806440" cy="3807990"/>
            <wp:docPr id="1" name="Picture 1"/>
            <wp:cNvGraphicFramePr>
              <a:graphicFrameLocks noChangeAspect="1"/>
            </wp:cNvGraphicFramePr>
            <a:graphic>
              <a:graphicData uri="http://schemas.openxmlformats.org/drawingml/2006/picture">
                <pic:pic>
                  <pic:nvPicPr>
                    <pic:cNvPr id="0" name="9F0EFE82-200F-4C6B-ADFA-082B4C117F63.jpeg"/>
                    <pic:cNvPicPr/>
                  </pic:nvPicPr>
                  <pic:blipFill>
                    <a:blip r:embed="rId15"/>
                    <a:stretch>
                      <a:fillRect/>
                    </a:stretch>
                  </pic:blipFill>
                  <pic:spPr>
                    <a:xfrm>
                      <a:off x="0" y="0"/>
                      <a:ext cx="5806440" cy="3807990"/>
                    </a:xfrm>
                    <a:prstGeom prst="rect"/>
                  </pic:spPr>
                </pic:pic>
              </a:graphicData>
            </a:graphic>
          </wp:inline>
        </w:drawing>
      </w:r>
    </w:p>
    <w:p>
      <w:pPr>
        <w:pageBreakBefore/>
      </w:pPr>
    </w:p>
    <w:p>
      <w:pPr>
        <w:jc w:val="center"/>
      </w:pPr>
      <w:r>
        <w:drawing>
          <wp:inline>
            <wp:extent cx="4991274" cy="8046720"/>
            <wp:docPr id="2" name="Picture 2"/>
            <wp:cNvGraphicFramePr>
              <a:graphicFrameLocks noChangeAspect="1"/>
            </wp:cNvGraphicFramePr>
            <a:graphic>
              <a:graphicData uri="http://schemas.openxmlformats.org/drawingml/2006/picture">
                <pic:pic>
                  <pic:nvPicPr>
                    <pic:cNvPr id="0" name="A890847C-8717-49B9-9C31-15EF41DF4A15.jpeg"/>
                    <pic:cNvPicPr/>
                  </pic:nvPicPr>
                  <pic:blipFill>
                    <a:blip r:embed="rId16"/>
                    <a:stretch>
                      <a:fillRect/>
                    </a:stretch>
                  </pic:blipFill>
                  <pic:spPr>
                    <a:xfrm>
                      <a:off x="0" y="0"/>
                      <a:ext cx="4991274" cy="8046720"/>
                    </a:xfrm>
                    <a:prstGeom prst="rect"/>
                  </pic:spPr>
                </pic:pic>
              </a:graphicData>
            </a:graphic>
          </wp:inline>
        </w:drawing>
      </w:r>
    </w:p>
    <w:p>
      <w:pPr>
        <w:pageBreakBefore/>
      </w:pPr>
    </w:p>
    <w:p>
      <w:pPr>
        <w:jc w:val="center"/>
      </w:pPr>
      <w:r>
        <w:drawing>
          <wp:inline>
            <wp:extent cx="5806440" cy="7717106"/>
            <wp:docPr id="3" name="Picture 3"/>
            <wp:cNvGraphicFramePr>
              <a:graphicFrameLocks noChangeAspect="1"/>
            </wp:cNvGraphicFramePr>
            <a:graphic>
              <a:graphicData uri="http://schemas.openxmlformats.org/drawingml/2006/picture">
                <pic:pic>
                  <pic:nvPicPr>
                    <pic:cNvPr id="0" name="FBA639DE-B35F-403E-B7FB-E9DCC8C01447.jpeg"/>
                    <pic:cNvPicPr/>
                  </pic:nvPicPr>
                  <pic:blipFill>
                    <a:blip r:embed="rId17"/>
                    <a:stretch>
                      <a:fillRect/>
                    </a:stretch>
                  </pic:blipFill>
                  <pic:spPr>
                    <a:xfrm>
                      <a:off x="0" y="0"/>
                      <a:ext cx="5806440" cy="7717106"/>
                    </a:xfrm>
                    <a:prstGeom prst="rect"/>
                  </pic:spPr>
                </pic:pic>
              </a:graphicData>
            </a:graphic>
          </wp:inline>
        </w:drawing>
      </w:r>
    </w:p>
    <w:p>
      <w:pPr>
        <w:pageBreakBefore/>
      </w:pPr>
    </w:p>
    <w:p>
      <w:pPr>
        <w:jc w:val="center"/>
      </w:pPr>
      <w:r>
        <w:drawing>
          <wp:inline>
            <wp:extent cx="5806440" cy="3952157"/>
            <wp:docPr id="4" name="Picture 4"/>
            <wp:cNvGraphicFramePr>
              <a:graphicFrameLocks noChangeAspect="1"/>
            </wp:cNvGraphicFramePr>
            <a:graphic>
              <a:graphicData uri="http://schemas.openxmlformats.org/drawingml/2006/picture">
                <pic:pic>
                  <pic:nvPicPr>
                    <pic:cNvPr id="0" name="D0807EF0-8B23-4B98-A832-4E0142733746.jpeg"/>
                    <pic:cNvPicPr/>
                  </pic:nvPicPr>
                  <pic:blipFill>
                    <a:blip r:embed="rId18"/>
                    <a:stretch>
                      <a:fillRect/>
                    </a:stretch>
                  </pic:blipFill>
                  <pic:spPr>
                    <a:xfrm>
                      <a:off x="0" y="0"/>
                      <a:ext cx="5806440" cy="3952157"/>
                    </a:xfrm>
                    <a:prstGeom prst="rect"/>
                  </pic:spPr>
                </pic:pic>
              </a:graphicData>
            </a:graphic>
          </wp:inline>
        </w:drawing>
      </w:r>
    </w:p>
    <w:p>
      <w:pPr>
        <w:pageBreakBefore/>
      </w:pPr>
    </w:p>
    <w:p>
      <w:pPr>
        <w:jc w:val="center"/>
      </w:pPr>
      <w:r>
        <w:drawing>
          <wp:inline>
            <wp:extent cx="5806440" cy="4210663"/>
            <wp:docPr id="5" name="Picture 5"/>
            <wp:cNvGraphicFramePr>
              <a:graphicFrameLocks noChangeAspect="1"/>
            </wp:cNvGraphicFramePr>
            <a:graphic>
              <a:graphicData uri="http://schemas.openxmlformats.org/drawingml/2006/picture">
                <pic:pic>
                  <pic:nvPicPr>
                    <pic:cNvPr id="0" name="88607EB0-06F5-4712-98B0-28D3380C4E1E.jpeg"/>
                    <pic:cNvPicPr/>
                  </pic:nvPicPr>
                  <pic:blipFill>
                    <a:blip r:embed="rId19"/>
                    <a:stretch>
                      <a:fillRect/>
                    </a:stretch>
                  </pic:blipFill>
                  <pic:spPr>
                    <a:xfrm>
                      <a:off x="0" y="0"/>
                      <a:ext cx="5806440" cy="4210663"/>
                    </a:xfrm>
                    <a:prstGeom prst="rect"/>
                  </pic:spPr>
                </pic:pic>
              </a:graphicData>
            </a:graphic>
          </wp:inline>
        </w:drawing>
      </w:r>
    </w:p>
    <w:p>
      <w:pPr>
        <w:pageBreakBefore/>
      </w:pPr>
    </w:p>
    <w:p>
      <w:pPr>
        <w:jc w:val="center"/>
      </w:pPr>
      <w:r>
        <w:drawing>
          <wp:inline>
            <wp:extent cx="5806440" cy="4911611"/>
            <wp:docPr id="6" name="Picture 6"/>
            <wp:cNvGraphicFramePr>
              <a:graphicFrameLocks noChangeAspect="1"/>
            </wp:cNvGraphicFramePr>
            <a:graphic>
              <a:graphicData uri="http://schemas.openxmlformats.org/drawingml/2006/picture">
                <pic:pic>
                  <pic:nvPicPr>
                    <pic:cNvPr id="0" name="8E86D465-EE5D-4493-A211-B91F27A66B01.jpeg"/>
                    <pic:cNvPicPr/>
                  </pic:nvPicPr>
                  <pic:blipFill>
                    <a:blip r:embed="rId20"/>
                    <a:stretch>
                      <a:fillRect/>
                    </a:stretch>
                  </pic:blipFill>
                  <pic:spPr>
                    <a:xfrm>
                      <a:off x="0" y="0"/>
                      <a:ext cx="5806440" cy="4911611"/>
                    </a:xfrm>
                    <a:prstGeom prst="rect"/>
                  </pic:spPr>
                </pic:pic>
              </a:graphicData>
            </a:graphic>
          </wp:inline>
        </w:drawing>
      </w:r>
    </w:p>
    <w:p>
      <w:pPr>
        <w:pageBreakBefore/>
      </w:pPr>
    </w:p>
    <w:p>
      <w:pPr>
        <w:jc w:val="center"/>
      </w:pPr>
      <w:r>
        <w:drawing>
          <wp:inline>
            <wp:extent cx="5806440" cy="5160175"/>
            <wp:docPr id="7" name="Picture 7"/>
            <wp:cNvGraphicFramePr>
              <a:graphicFrameLocks noChangeAspect="1"/>
            </wp:cNvGraphicFramePr>
            <a:graphic>
              <a:graphicData uri="http://schemas.openxmlformats.org/drawingml/2006/picture">
                <pic:pic>
                  <pic:nvPicPr>
                    <pic:cNvPr id="0" name="9BB9A7B9-AE18-4183-8997-859B45B6CA49.jpeg"/>
                    <pic:cNvPicPr/>
                  </pic:nvPicPr>
                  <pic:blipFill>
                    <a:blip r:embed="rId21"/>
                    <a:stretch>
                      <a:fillRect/>
                    </a:stretch>
                  </pic:blipFill>
                  <pic:spPr>
                    <a:xfrm>
                      <a:off x="0" y="0"/>
                      <a:ext cx="5806440" cy="5160175"/>
                    </a:xfrm>
                    <a:prstGeom prst="rect"/>
                  </pic:spPr>
                </pic:pic>
              </a:graphicData>
            </a:graphic>
          </wp:inline>
        </w:drawing>
      </w:r>
    </w:p>
    <w:p>
      <w:pPr>
        <w:pageBreakBefore/>
      </w:pPr>
      <w:r>
        <w:rPr>
          <w:b/>
          <w:sz w:val="30"/>
        </w:rPr>
        <w:t>Activity 2: Live Deployment Link</w:t>
      </w:r>
    </w:p>
    <w:p>
      <w:r>
        <w:t>Below is the updated Tableau Public link to the interactive Food Ordering Behaviour dashboard:</w:t>
      </w:r>
    </w:p>
    <w:p>
      <w:r>
        <w:rPr>
          <w:b/>
        </w:rPr>
        <w:t xml:space="preserve">Tableau Public Dashboard Link: </w:t>
      </w:r>
      <w:hyperlink r:id="rId22">
        <w:r>
          <w:rPr>
            <w:color w:val="0563C1"/>
            <w:u w:val="single"/>
          </w:rPr>
          <w:t>https://public.tableau.com/app/profile/mehak.chugh/viz/CUSTOMER_ORDERING_ANALYSIS/Dashboard1</w:t>
        </w:r>
      </w:hyperlink>
    </w:p>
    <w:p>
      <w:r>
        <w:t>Note: Questions 2 and 7 from the original 11-question set remain excluded from the final dashboard, as specified.</w:t>
      </w:r>
    </w:p>
    <w:sectPr>
      <w:footerReference w:type="default" r:id="rId14"/>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Food Ordering Behaviour Analysis | Tableau Dashboard Design</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hyperlink" Target="https://public.tableau.com/views/HeartScope_Clinical_Analytics_Story/HeartScopeDashboard?:language=en-US&amp;publish=yes&amp;:display_count=n&amp;:origin=viz_share_link" TargetMode="Externa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3" Type="http://schemas.openxmlformats.org/officeDocument/2006/relationships/hyperlink" Target="https://public.tableau.com/views/CUSTOMERORDERINGANALYSIS/Dashboard1?:language=en-US&amp;:sid=&amp;:redirect=auth&amp;:display_count=n&amp;:origin=viz_share_link" TargetMode="External"/><Relationship Id="rId14" Type="http://schemas.openxmlformats.org/officeDocument/2006/relationships/footer" Target="footer1.xml"/><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jpeg"/><Relationship Id="rId20" Type="http://schemas.openxmlformats.org/officeDocument/2006/relationships/image" Target="media/image11.jpeg"/><Relationship Id="rId21" Type="http://schemas.openxmlformats.org/officeDocument/2006/relationships/image" Target="media/image12.jpeg"/><Relationship Id="rId22" Type="http://schemas.openxmlformats.org/officeDocument/2006/relationships/hyperlink" Target="https://public.tableau.com/app/profile/mehak.chugh/viz/CUSTOMER_ORDERING_ANALYSIS/Dashboar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DBloqxOGlCU62D+0go4LQFexdA==">CgMxLjAyDmgucmFjdjlsYnFsaDlrMg5oLmQ3eHM0NmJzYjFvMjgAciExNy03dVJQd0NEbVpMZXZ1TXVFb2ZNU09qNlJDU09xUko=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