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31 July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/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Food Ordering Behaviour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Quality Report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Quality Report Template will summarize data quality issues from the selected source, including severity levels and resolution plans. It will aid in systematically identifying and rectifying data discrepancies.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  <w:tblGridChange w:id="0">
          <w:tblGrid>
            <w:gridCol w:w="1320"/>
            <w:gridCol w:w="3420"/>
            <w:gridCol w:w="1185"/>
            <w:gridCol w:w="345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Quality Issue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Resolution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Food Ordering Behaviour 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Inconsistent Categorical Values: Variations in text entries for fields such as meal type, day type, city, and other categorical attributes may cause the same category to appear as separate values.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t>Clean and standardize categorical fields by trimming extra spaces, correcting inconsistent text formatting, and ensuring identical category labels are grouped properly before analysis and visualization in Tableau.</w:t>
            </w:r>
          </w:p>
        </w:tc>
      </w:tr>
    </w:tbl>
    <w:p w:rsidR="00000000" w:rsidDel="00000000" w:rsidP="00000000" w:rsidRDefault="00000000" w:rsidRPr="00000000" w14:paraId="00000017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-466723</wp:posOffset>
          </wp:positionH>
          <wp:positionV relativeFrom="paragraph">
            <wp:posOffset>-335277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OBm/XOd1ngyxsngDnGaU/mfVg==">CgMxLjA4AHIhMXNaRkpDVkZkbklNbE5lYThlRmN3N2JMQ2QtdFhCQnB2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