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w:t>
            </w:r>
          </w:p>
        </w:tc>
        <w:tc>
          <w:tcPr>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 July 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Team ID</w:t>
            </w:r>
          </w:p>
        </w:tc>
        <w:tc>
          <w:tcPr>
            <w:shd w:fill="auto" w:val="clear"/>
            <w:tcMar>
              <w:top w:w="100.0" w:type="dxa"/>
              <w:left w:w="100.0" w:type="dxa"/>
              <w:bottom w:w="100.0" w:type="dxa"/>
              <w:right w:w="10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Project Title</w:t>
            </w:r>
          </w:p>
        </w:tc>
        <w:tc>
          <w:tcPr>
            <w:shd w:fill="auto" w:val="clear"/>
            <w:tcMar>
              <w:top w:w="100.0" w:type="dxa"/>
              <w:left w:w="100.0" w:type="dxa"/>
              <w:bottom w:w="100.0" w:type="dxa"/>
              <w:right w:w="10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Food Delivery Behaviour Analysis – Tableau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Maximum Marks</w:t>
            </w:r>
          </w:p>
        </w:tc>
        <w:tc>
          <w:tcPr>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Data Exploration and Preprocessing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Identifies data sources, assesses quality issues like missing values and duplicates, and implements resolution plans to ensure accurate and reliable analysis.</w:t>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510"/>
        <w:tblGridChange w:id="0">
          <w:tblGrid>
            <w:gridCol w:w="2850"/>
            <w:gridCol w:w="651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Description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comprehensive clinical patient health record dataset containing key demographics, biometric markers (BMI), chronic conditions (Stroke, Diabetes), and behavior metrics (Smoking, Alcohol usage) used to evaluate heart disease risks.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Missing Values:</w:t>
            </w:r>
            <w:r w:rsidDel="00000000" w:rsidR="00000000" w:rsidRPr="00000000">
              <w:rPr>
                <w:rFonts w:ascii="Times New Roman" w:cs="Times New Roman" w:eastAsia="Times New Roman" w:hAnsi="Times New Roman"/>
                <w:sz w:val="24"/>
                <w:szCs w:val="24"/>
                <w:rtl w:val="0"/>
              </w:rPr>
              <w:t xml:space="preserve"> Isolated and deleted incomplete rows to prevent statistical skews.</w:t>
            </w:r>
            <w:r w:rsidDel="00000000" w:rsidR="00000000" w:rsidRPr="00000000">
              <w:rPr>
                <w:rFonts w:ascii="Times New Roman" w:cs="Times New Roman" w:eastAsia="Times New Roman" w:hAnsi="Times New Roman"/>
                <w:b w:val="1"/>
                <w:bCs w:val="1"/>
                <w:sz w:val="24"/>
                <w:szCs w:val="24"/>
                <w:rtl w:val="0"/>
              </w:rPr>
              <w:t>Duplicates:</w:t>
            </w:r>
            <w:r w:rsidDel="00000000" w:rsidR="00000000" w:rsidRPr="00000000">
              <w:rPr>
                <w:rFonts w:ascii="Times New Roman" w:cs="Times New Roman" w:eastAsia="Times New Roman" w:hAnsi="Times New Roman"/>
                <w:sz w:val="24"/>
                <w:szCs w:val="24"/>
                <w:rtl w:val="0"/>
              </w:rPr>
              <w:t xml:space="preserve"> Dropped redundant patient records to guarantee data integrity.</w:t>
            </w:r>
            <w:r w:rsidDel="00000000" w:rsidR="00000000" w:rsidRPr="00000000">
              <w:rPr>
                <w:rFonts w:ascii="Times New Roman" w:cs="Times New Roman" w:eastAsia="Times New Roman" w:hAnsi="Times New Roman"/>
                <w:b w:val="1"/>
                <w:bCs w:val="1"/>
                <w:sz w:val="24"/>
                <w:szCs w:val="24"/>
                <w:rtl w:val="0"/>
              </w:rPr>
              <w:t>Error Correction:</w:t>
            </w:r>
            <w:r w:rsidDel="00000000" w:rsidR="00000000" w:rsidRPr="00000000">
              <w:rPr>
                <w:rFonts w:ascii="Times New Roman" w:cs="Times New Roman" w:eastAsia="Times New Roman" w:hAnsi="Times New Roman"/>
                <w:sz w:val="24"/>
                <w:szCs w:val="24"/>
                <w:rtl w:val="0"/>
              </w:rPr>
              <w:t xml:space="preserve"> Trimmed double spaces, normalized irregular casing, and stripped tracking white spaces from category values.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Calculated Fields:</w:t>
            </w:r>
            <w:r w:rsidDel="00000000" w:rsidR="00000000" w:rsidRPr="00000000">
              <w:rPr>
                <w:rFonts w:ascii="Times New Roman" w:cs="Times New Roman" w:eastAsia="Times New Roman" w:hAnsi="Times New Roman"/>
                <w:sz w:val="24"/>
                <w:szCs w:val="24"/>
                <w:rtl w:val="0"/>
              </w:rPr>
              <w:t xml:space="preserve"> Formed grouped risk classifications (e.g., standardizing BMI ranges into categorical risk tiers).</w:t>
            </w:r>
            <w:r w:rsidDel="00000000" w:rsidR="00000000" w:rsidRPr="00000000">
              <w:rPr>
                <w:rFonts w:ascii="Times New Roman" w:cs="Times New Roman" w:eastAsia="Times New Roman" w:hAnsi="Times New Roman"/>
                <w:b w:val="1"/>
                <w:bCs w:val="1"/>
                <w:sz w:val="24"/>
                <w:szCs w:val="24"/>
                <w:rtl w:val="0"/>
              </w:rPr>
              <w:t>Aggregations &amp; Pivots:</w:t>
            </w:r>
            <w:r w:rsidDel="00000000" w:rsidR="00000000" w:rsidRPr="00000000">
              <w:rPr>
                <w:rFonts w:ascii="Times New Roman" w:cs="Times New Roman" w:eastAsia="Times New Roman" w:hAnsi="Times New Roman"/>
                <w:sz w:val="24"/>
                <w:szCs w:val="24"/>
                <w:rtl w:val="0"/>
              </w:rPr>
              <w:t xml:space="preserve"> Implemented SUMIF/SUM calculations and structured PivotTables to cross-examine core attribute percentages.</w:t>
            </w:r>
            <w:r w:rsidDel="00000000" w:rsidR="00000000" w:rsidRPr="00000000">
              <w:rPr>
                <w:rFonts w:ascii="Times New Roman" w:cs="Times New Roman" w:eastAsia="Times New Roman" w:hAnsi="Times New Roman"/>
                <w:b w:val="1"/>
                <w:bCs w:val="1"/>
                <w:sz w:val="24"/>
                <w:szCs w:val="24"/>
                <w:rtl w:val="0"/>
              </w:rPr>
              <w:t>Filtering:</w:t>
            </w:r>
            <w:r w:rsidDel="00000000" w:rsidR="00000000" w:rsidRPr="00000000">
              <w:rPr>
                <w:rFonts w:ascii="Times New Roman" w:cs="Times New Roman" w:eastAsia="Times New Roman" w:hAnsi="Times New Roman"/>
                <w:sz w:val="24"/>
                <w:szCs w:val="24"/>
                <w:rtl w:val="0"/>
              </w:rPr>
              <w:t xml:space="preserve"> Excluded extreme data outliers that fall outside realistic clinical variance limits.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Validated that patient identifiers are classified as non-numeric strings, biometric attributes are assigned floating-point decimals, and true/false flags are strictly mapped to Boolean or explicit text values to prevent syntax failures inside Tableau.</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Merged separated categorical metrics (such as organizational groups or department classifications) where applicable, and isolated multi-variable strings into clear, singular individual columns to enable responsive dashboard filtering.</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Established logical connections between primary patient files and peripheral lookups (e.g., department and reference mapping tables) using distinct index keys. Calculated global operational ratios like overall attendance, present percentages, and multi-factor risk indexes.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Exported the fully standardized dataset from raw system states into a permanently structured Excel file extension format, explicitly adjusting column widths to ensure complete field visibility before transferring to visualization platforms.</w:t>
            </w:r>
          </w:p>
        </w:tc>
      </w:tr>
    </w:tbl>
    <w:p w:rsidR="00000000" w:rsidDel="00000000" w:rsidP="00000000" w:rsidRDefault="00000000" w:rsidRPr="00000000" w14:paraId="00000020">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66675</wp:posOffset>
          </wp:positionH>
          <wp:positionV relativeFrom="page">
            <wp:posOffset>104775</wp:posOffset>
          </wp:positionV>
          <wp:extent cx="1681163" cy="65306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653067"/>
                  </a:xfrm>
                  <a:prstGeom prst="rect"/>
                  <a:ln/>
                </pic:spPr>
              </pic:pic>
            </a:graphicData>
          </a:graphic>
        </wp:anchor>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uoLdBTinhJa+AJS/e23ocVGKQ==">CgMxLjA4AHIhMWhWZjNIS3BMMHVRV0VoUVVSWVFKaUpKdS1XR2UzVjFW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