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659d39210dc1f0ce7725e4977399d788d30d30e"/>
    <w:p>
      <w:pPr>
        <w:pStyle w:val="Heading1"/>
      </w:pPr>
      <w:r>
        <w:t xml:space="preserve">Robo-Adviser Platform: Mean–Variance Optimization, Conversational Risk Elicitation, and Full-Stack Implementation</w:t>
      </w:r>
    </w:p>
    <w:p>
      <w:pPr>
        <w:pStyle w:val="FirstParagraph"/>
      </w:pPr>
      <w:r>
        <w:rPr>
          <w:b/>
          <w:bCs/>
        </w:rPr>
        <w:t xml:space="preserve">Academic report (Word source)</w:t>
      </w:r>
      <w:r>
        <w:t xml:space="preserve"> </w:t>
      </w:r>
      <w:r>
        <w:t xml:space="preserve">—</w:t>
      </w:r>
      <w:r>
        <w:t xml:space="preserve"> </w:t>
      </w:r>
      <w:r>
        <w:rPr>
          <w:i/>
          <w:iCs/>
        </w:rPr>
        <w:t xml:space="preserve">Course deliverable. Import into Microsoft Word; apply institution styles; paste equations from</w:t>
      </w:r>
      <w:r>
        <w:rPr>
          <w:i/>
          <w:iCs/>
        </w:rPr>
        <w:t xml:space="preserve"> </w:t>
      </w:r>
      <w:r>
        <w:rPr>
          <w:rStyle w:val="VerbatimChar"/>
          <w:i/>
          <w:iCs/>
        </w:rPr>
        <w:t xml:space="preserve">WORD_EQUATION_EDITOR_FORMULAS.md</w:t>
      </w:r>
      <w:r>
        <w:rPr>
          <w:i/>
          <w:iCs/>
        </w:rPr>
        <w:t xml:space="preserve"> </w:t>
      </w:r>
      <w:r>
        <w:rPr>
          <w:i/>
          <w:iCs/>
        </w:rPr>
        <w:t xml:space="preserve">into Equation Editor. Figures: export diagrams at vector quality or ≥300 DPI.</w:t>
      </w:r>
    </w:p>
    <w:p>
      <w:pPr>
        <w:pStyle w:val="BodyText"/>
      </w:pPr>
      <w:r>
        <w:rPr>
          <w:b/>
          <w:bCs/>
        </w:rPr>
        <w:t xml:space="preserve">Keywords:</w:t>
      </w:r>
      <w:r>
        <w:t xml:space="preserve"> </w:t>
      </w:r>
      <w:r>
        <w:t xml:space="preserve">robo-adviser, Modern Portfolio Theory, mean–variance optimization, LangGraph, FastAPI, reconciliation, efficient frontier</w:t>
      </w:r>
    </w:p>
    <w:p>
      <w:r>
        <w:pict>
          <v:rect style="width:0;height:1.5pt" o:hralign="center" o:hrstd="t" o:hr="t"/>
        </w:pict>
      </w:r>
    </w:p>
    <w:bookmarkStart w:id="9" w:name="abstract"/>
    <w:p>
      <w:pPr>
        <w:pStyle w:val="Heading2"/>
      </w:pPr>
      <w:r>
        <w:t xml:space="preserve">Abstract</w:t>
      </w:r>
    </w:p>
    <w:p>
      <w:pPr>
        <w:pStyle w:val="FirstParagraph"/>
      </w:pPr>
      <w:r>
        <w:t xml:space="preserve">Digital investment advice has moved from novelty to infrastructure: millions of investors now encounter portfolio recommendations through web and mobile experiences backed by quantitative models. This report documents a university-grade robo-adviser platform that unifies three engineering commitments rarely combined in a single academic submission: a Python computational engine that implements long-only and short-allowed global minimum variance portfolios (GMVP), bounded-short tangency computation via a two-path SLSQP pattern, parametric efficient frontiers in both regimes, and mean–variance utility maximization under bounded long-only constraints; a reconciliation harness prepared for validation against an independent Excel audit model currently under construction, with three-valued status semantics (PASS, SKIP, FAIL) that honestly distinguish Python self-consistency from Excel-verified parity; and a conversational risk elicitation layer implemented as a LangGraph state machine that maps psychographic answers to a scalar risk aversion coefficient on the interval [0.5, 10.0]. The presentation tier is a Next.js application that visualizes the frontier and allocations using Plotly.js and Recharts.</w:t>
      </w:r>
    </w:p>
    <w:p>
      <w:pPr>
        <w:pStyle w:val="BodyText"/>
      </w:pPr>
      <w:r>
        <w:t xml:space="preserve">The mathematical core follows Markowitz mean–variance analysis. Expected portfolio return is modeled as a linear combination of asset means with portfolio weights; risk is captured by a quadratic form involving the covariance matrix. The investor’s optimal portfolio maximizes the utility function that subtracts a penalty proportional to variance, with the penalty scaled by risk aversion. The platform’s API contract exposes these results together with metadata required for reproducibility and pedagogy, including the risk-free rate used in Sharpe ratio calculations.</w:t>
      </w:r>
    </w:p>
    <w:p>
      <w:pPr>
        <w:pStyle w:val="BodyText"/>
      </w:pPr>
      <w:r>
        <w:t xml:space="preserve">We describe the data universe—ten funds spanning global equity, regional equity, fixed income, multi-asset, and real estate exposure—constructed from lengthy monthly net asset value histories. Descriptive statistics motivate diversification benefits and the empirical shape of the covariance structure. The report explains the reconciliation harness’s three-valued status semantics, why absolute tolerances of</w:t>
      </w:r>
      <w:r>
        <w:t xml:space="preserve"> </w:t>
      </w:r>
      <m:oMath>
        <m:sSup>
          <m:e>
            <m:r>
              <m:t>10</m:t>
            </m:r>
          </m:e>
          <m:sup>
            <m:r>
              <m:rPr>
                <m:sty m:val="p"/>
              </m:rPr>
              <m:t>−</m:t>
            </m:r>
            <m:r>
              <m:t>6</m:t>
            </m:r>
          </m:sup>
        </m:sSup>
      </m:oMath>
      <w:r>
        <w:t xml:space="preserve"> </w:t>
      </w:r>
      <w:r>
        <w:t xml:space="preserve">matter for floating-point pipelines, and how failures will be classified once Excel parity is exercised. We conclude with limitations—stationary moments, absence of liabilities and taxes—and with concrete extensions suitable for graduate follow-on work. The contribution is not a new financial theorem but a disciplined, end-to-end systems narrative with auditability appropriate for a capstone in computational finance.</w:t>
      </w:r>
    </w:p>
    <w:p>
      <w:r>
        <w:pict>
          <v:rect style="width:0;height:1.5pt" o:hralign="center" o:hrstd="t" o:hr="t"/>
        </w:pict>
      </w:r>
    </w:p>
    <w:bookmarkEnd w:id="9"/>
    <w:bookmarkStart w:id="12" w:name="introduction-and-motivation"/>
    <w:p>
      <w:pPr>
        <w:pStyle w:val="Heading2"/>
      </w:pPr>
      <w:r>
        <w:t xml:space="preserve">1. Introduction and Motivation</w:t>
      </w:r>
    </w:p>
    <w:p>
      <w:pPr>
        <w:pStyle w:val="FirstParagraph"/>
      </w:pPr>
      <w:r>
        <w:t xml:space="preserve">Retail and small institutional investors face a structural information problem: they must translate vague preferences—“I can tolerate some volatility” or “I need income in five years”—into a portfolio decision that is internally consistent and explainable. Human advisers perform this translation using experience and regulation-constrained processes. Robo-advisers automate parts of the workflow using algorithms that are transparent to regulators when documented properly and testable when engineered with reconciliation in mind.</w:t>
      </w:r>
    </w:p>
    <w:p>
      <w:pPr>
        <w:pStyle w:val="BodyText"/>
      </w:pPr>
      <w:r>
        <w:t xml:space="preserve">This project’s motivation is pedagogical and professional simultaneously. Pedagogically, it forces integration of linear algebra, constrained optimization, software architecture, and human–computer interaction. Professionally, it mirrors how modern fintech stacks separate concerns: static market data, a model layer, an inference or rules layer for preferences, and a client layer for visualization. The product requirements document (PRD) for this build defines a strict interface between the elicited risk aversion coefficient, denoted</w:t>
      </w:r>
      <w:r>
        <w:t xml:space="preserve"> </w:t>
      </w:r>
      <m:oMath>
        <m:r>
          <m:t>A</m:t>
        </m:r>
      </m:oMath>
      <w:r>
        <w:t xml:space="preserve">, and the optimization engine. That interface is intentionally narrow. By constraining the bridge to a single scalar, the system remains testable: the same</w:t>
      </w:r>
      <w:r>
        <w:t xml:space="preserve"> </w:t>
      </w:r>
      <m:oMath>
        <m:r>
          <m:t>A</m:t>
        </m:r>
      </m:oMath>
      <w:r>
        <w:t xml:space="preserve"> </w:t>
      </w:r>
      <w:r>
        <w:t xml:space="preserve">must always produce the same optimal weights given the same moments</w:t>
      </w:r>
      <w:r>
        <w:t xml:space="preserve"> </w:t>
      </w:r>
      <m:oMath>
        <m:r>
          <m:rPr>
            <m:sty m:val="bi"/>
          </m:rPr>
          <m:t>μ</m:t>
        </m:r>
      </m:oMath>
      <w:r>
        <w:t xml:space="preserve"> </w:t>
      </w:r>
      <w:r>
        <w:t xml:space="preserve">and</w:t>
      </w:r>
      <w:r>
        <w:t xml:space="preserve"> </w:t>
      </w:r>
      <m:oMath>
        <m:r>
          <m:rPr>
            <m:sty m:val="b"/>
          </m:rPr>
          <m:t>Σ</m:t>
        </m:r>
      </m:oMath>
      <w:r>
        <w:t xml:space="preserve">.</w:t>
      </w:r>
    </w:p>
    <w:p>
      <w:pPr>
        <w:pStyle w:val="BodyText"/>
      </w:pPr>
      <w:r>
        <w:t xml:space="preserve">A second motivation is audit culture. Financial software errors are not merely “bugs”; they can systematically harm users who believe they are following prudent advice. The project therefore elevates an Excel workbook to the status of an audit baseline—not because Excel is inherently superior to NumPy, but because spreadsheet models remain ubiquitous in finance education and supervisory review. The Python engine must replicate selected Excel computations to within a defined absolute tolerance. This discipline mirrors model risk management practice: independent replication, tolerance checks, and documented exceptions.</w:t>
      </w:r>
    </w:p>
    <w:p>
      <w:pPr>
        <w:pStyle w:val="BodyText"/>
      </w:pPr>
      <w:r>
        <w:t xml:space="preserve">Finally, the project engages with behavioral reality. Mean–variance optimization is elegant but cold; investors do not think in terms of</w:t>
      </w:r>
      <w:r>
        <w:t xml:space="preserve"> </w:t>
      </w:r>
      <m:oMath>
        <m:r>
          <m:t>A</m:t>
        </m:r>
      </m:oMath>
      <w:r>
        <w:t xml:space="preserve"> </w:t>
      </w:r>
      <w:r>
        <w:t xml:space="preserve">in</w:t>
      </w:r>
      <w:r>
        <w:t xml:space="preserve"> </w:t>
      </w:r>
      <m:oMath>
        <m:r>
          <m:rPr>
            <m:sty m:val="p"/>
          </m:rPr>
          <m:t>[</m:t>
        </m:r>
        <m:r>
          <m:t>0.5</m:t>
        </m:r>
        <m:r>
          <m:rPr>
            <m:sty m:val="p"/>
          </m:rPr>
          <m:t>,</m:t>
        </m:r>
        <m:r>
          <m:t>10</m:t>
        </m:r>
        <m:r>
          <m:rPr>
            <m:sty m:val="p"/>
          </m:rPr>
          <m:t>]</m:t>
        </m:r>
      </m:oMath>
      <w:r>
        <w:t xml:space="preserve">. A structured chatbot collects qualitative dimensions—horizon, drawdown tolerance, reaction to losses, income stability, experience—and maps them to</w:t>
      </w:r>
      <w:r>
        <w:t xml:space="preserve"> </w:t>
      </w:r>
      <m:oMath>
        <m:r>
          <m:t>A</m:t>
        </m:r>
      </m:oMath>
      <w:r>
        <w:t xml:space="preserve"> </w:t>
      </w:r>
      <w:r>
        <w:t xml:space="preserve">using a deterministic rubric. This preserves reproducibility while improving accessibility. The narrative arc of the report follows the user journey: data, moments, Excel verification, conversational inference, API optimization, visualization, reconciliation, and reflection.</w:t>
      </w:r>
    </w:p>
    <w:p>
      <w:pPr>
        <w:pStyle w:val="BodyText"/>
      </w:pPr>
      <w:r>
        <w:t xml:space="preserve">Roadmap. Section 2 presents the financial methodology. Section 3 summarizes the dataset and descriptive framing. Section 4 details the Excel architecture and its role as ground truth. Section 5 explains the LangGraph risk assessment design. Section 6 documents backend API and optimization choices. Section 7 covers frontend UX and charting. Section 8 reports reconciliation. Section 9 concludes. References follow APA 7th edition conventions.</w:t>
      </w:r>
    </w:p>
    <w:bookmarkStart w:id="10" w:name="Xc23518079b9208e105e048959cc118b6dabe14c"/>
    <w:p>
      <w:pPr>
        <w:pStyle w:val="Heading3"/>
      </w:pPr>
      <w:r>
        <w:t xml:space="preserve">1.1 Contributions of this document relative to source code</w:t>
      </w:r>
    </w:p>
    <w:p>
      <w:pPr>
        <w:pStyle w:val="FirstParagraph"/>
      </w:pPr>
      <w:r>
        <w:t xml:space="preserve">Source code answers “what runs,” but it does not automatically answer “why these choices are standard in finance” or “how we know the numbers are trustworthy.” This report therefore complements the repository by narrating assumptions, mapping symbols in equations to JSON fields in the API, and pointing to reconciliation artifacts that function as computational receipts. Readers approaching the project cold should be able to reconstruct the intellectual lineage from Markowitz’s portfolio selection problem to the specific FastAPI response schema without reading every module. Conversely, readers focused on implementation details will find pointers to filenames and endpoints so they can navigate the codebase efficiently.</w:t>
      </w:r>
    </w:p>
    <w:bookmarkEnd w:id="10"/>
    <w:bookmarkStart w:id="11" w:name="intended-audience"/>
    <w:p>
      <w:pPr>
        <w:pStyle w:val="Heading3"/>
      </w:pPr>
      <w:r>
        <w:t xml:space="preserve">1.2 Intended audience</w:t>
      </w:r>
    </w:p>
    <w:p>
      <w:pPr>
        <w:pStyle w:val="FirstParagraph"/>
      </w:pPr>
      <w:r>
        <w:t xml:space="preserve">The primary audience is course instructors and examiners evaluating a capstone in computational finance. Secondary audiences include teammates who must write slides or documentation under time pressure and future maintainers extending the platform. The tone balances formal academic citation with pragmatic systems commentary—footnotes are minimized in favor of cohesive paragraphs suitable for conversion into a Word thesis chapter.</w:t>
      </w:r>
    </w:p>
    <w:p>
      <w:r>
        <w:pict>
          <v:rect style="width:0;height:1.5pt" o:hralign="center" o:hrstd="t" o:hr="t"/>
        </w:pict>
      </w:r>
    </w:p>
    <w:bookmarkEnd w:id="11"/>
    <w:bookmarkEnd w:id="12"/>
    <w:bookmarkStart w:id="21" w:name="X6195a2eb25d453084ea2ee8ecb4b8b4e904ccde"/>
    <w:p>
      <w:pPr>
        <w:pStyle w:val="Heading2"/>
      </w:pPr>
      <w:r>
        <w:t xml:space="preserve">2. Financial Methodology: MPT, Markowitz, and Utility Theory</w:t>
      </w:r>
    </w:p>
    <w:bookmarkStart w:id="13" w:name="the-meanvariance-foundation"/>
    <w:p>
      <w:pPr>
        <w:pStyle w:val="Heading3"/>
      </w:pPr>
      <w:r>
        <w:t xml:space="preserve">2.1 The mean–variance foundation</w:t>
      </w:r>
    </w:p>
    <w:p>
      <w:pPr>
        <w:pStyle w:val="FirstParagraph"/>
      </w:pPr>
      <w:r>
        <w:t xml:space="preserve">Modern Portfolio Theory (MPT), associated with Markowitz, models investors as caring about the expectation and variance of portfolio returns over a chosen horizon, under assumptions that can be debated but that remain the workhorse of introductory portfolio construction. Let there be</w:t>
      </w:r>
      <w:r>
        <w:t xml:space="preserve"> </w:t>
      </w:r>
      <m:oMath>
        <m:r>
          <m:t>n</m:t>
        </m:r>
      </m:oMath>
      <w:r>
        <w:t xml:space="preserve"> </w:t>
      </w:r>
      <w:r>
        <w:t xml:space="preserve">risky assets. Let</w:t>
      </w:r>
      <w:r>
        <w:t xml:space="preserve"> </w:t>
      </w:r>
      <m:oMath>
        <m:sSub>
          <m:e>
            <m:r>
              <m:t>w</m:t>
            </m:r>
          </m:e>
          <m:sub>
            <m:r>
              <m:t>i</m:t>
            </m:r>
          </m:sub>
        </m:sSub>
      </m:oMath>
      <w:r>
        <w:t xml:space="preserve"> </w:t>
      </w:r>
      <w:r>
        <w:t xml:space="preserve">be the portfolio weight on asset</w:t>
      </w:r>
      <w:r>
        <w:t xml:space="preserve"> </w:t>
      </w:r>
      <m:oMath>
        <m:r>
          <m:t>i</m:t>
        </m:r>
      </m:oMath>
      <w:r>
        <w:t xml:space="preserve">, assembled into vector</w:t>
      </w:r>
      <w:r>
        <w:t xml:space="preserve"> </w:t>
      </w:r>
      <m:oMath>
        <m:r>
          <m:rPr>
            <m:sty m:val="bi"/>
          </m:rPr>
          <m:t>w</m:t>
        </m:r>
        <m:r>
          <m:rPr>
            <m:sty m:val="p"/>
          </m:rPr>
          <m:t>∈</m:t>
        </m:r>
        <m:sSup>
          <m:e>
            <m:r>
              <m:rPr>
                <m:scr m:val="double-struck"/>
                <m:sty m:val="p"/>
              </m:rPr>
              <m:t>R</m:t>
            </m:r>
          </m:e>
          <m:sup>
            <m:r>
              <m:t>n</m:t>
            </m:r>
          </m:sup>
        </m:sSup>
      </m:oMath>
      <w:r>
        <w:t xml:space="preserve">. Let</w:t>
      </w:r>
      <w:r>
        <w:t xml:space="preserve"> </w:t>
      </w:r>
      <m:oMath>
        <m:r>
          <m:rPr>
            <m:sty m:val="bi"/>
          </m:rPr>
          <m:t>μ</m:t>
        </m:r>
        <m:r>
          <m:rPr>
            <m:sty m:val="p"/>
          </m:rPr>
          <m:t>∈</m:t>
        </m:r>
        <m:sSup>
          <m:e>
            <m:r>
              <m:rPr>
                <m:scr m:val="double-struck"/>
                <m:sty m:val="p"/>
              </m:rPr>
              <m:t>R</m:t>
            </m:r>
          </m:e>
          <m:sup>
            <m:r>
              <m:t>n</m:t>
            </m:r>
          </m:sup>
        </m:sSup>
      </m:oMath>
      <w:r>
        <w:t xml:space="preserve"> </w:t>
      </w:r>
      <w:r>
        <w:t xml:space="preserve">be the vector of expected returns and</w:t>
      </w:r>
      <w:r>
        <w:t xml:space="preserve"> </w:t>
      </w:r>
      <m:oMath>
        <m:r>
          <m:rPr>
            <m:sty m:val="b"/>
          </m:rPr>
          <m:t>Σ</m:t>
        </m:r>
        <m:r>
          <m:rPr>
            <m:sty m:val="p"/>
          </m:rPr>
          <m:t>∈</m:t>
        </m:r>
        <m:sSup>
          <m:e>
            <m:r>
              <m:rPr>
                <m:scr m:val="double-struck"/>
                <m:sty m:val="p"/>
              </m:rPr>
              <m:t>R</m:t>
            </m:r>
          </m:e>
          <m:sup>
            <m:r>
              <m:t>n</m:t>
            </m:r>
            <m:r>
              <m:rPr>
                <m:sty m:val="p"/>
              </m:rPr>
              <m:t>×</m:t>
            </m:r>
            <m:r>
              <m:t>n</m:t>
            </m:r>
          </m:sup>
        </m:sSup>
      </m:oMath>
      <w:r>
        <w:t xml:space="preserve"> </w:t>
      </w:r>
      <w:r>
        <w:t xml:space="preserve">the positive semi-definite covariance matrix of returns. The expected portfolio return and variance are:</w:t>
      </w:r>
    </w:p>
    <w:p>
      <w:pPr>
        <w:pStyle w:val="BodyText"/>
      </w:pPr>
      <m:oMathPara>
        <m:oMathParaPr>
          <m:jc m:val="center"/>
        </m:oMathParaPr>
        <m:oMath>
          <m:r>
            <m:t>E</m:t>
          </m:r>
          <m:r>
            <m:rPr>
              <m:sty m:val="p"/>
            </m:rPr>
            <m:t>(</m:t>
          </m:r>
          <m:sSub>
            <m:e>
              <m:r>
                <m:t>r</m:t>
              </m:r>
            </m:e>
            <m:sub>
              <m:r>
                <m:t>p</m:t>
              </m:r>
            </m:sub>
          </m:sSub>
          <m:r>
            <m:rPr>
              <m:sty m:val="p"/>
            </m:rPr>
            <m:t>)</m:t>
          </m:r>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μ</m:t>
              </m:r>
            </m:e>
            <m:sub>
              <m:r>
                <m:t>i</m:t>
              </m:r>
            </m:sub>
          </m:sSub>
          <m:r>
            <m:rPr>
              <m:sty m:val="p"/>
            </m:rPr>
            <m:t>=</m:t>
          </m:r>
          <m:sSup>
            <m:e>
              <m:r>
                <m:rPr>
                  <m:sty m:val="bi"/>
                </m:rPr>
                <m:t>w</m:t>
              </m:r>
            </m:e>
            <m:sup>
              <m:r>
                <m:rPr>
                  <m:sty m:val="p"/>
                </m:rPr>
                <m:t>T</m:t>
              </m:r>
            </m:sup>
          </m:sSup>
          <m:r>
            <m:rPr>
              <m:sty m:val="bi"/>
            </m:rPr>
            <m:t>μ</m:t>
          </m:r>
          <m:r>
            <m:rPr>
              <m:sty m:val="p"/>
            </m:rPr>
            <m:t>,</m:t>
          </m:r>
          <m:r>
            <m:t>  </m:t>
          </m:r>
          <m:sSubSup>
            <m:e>
              <m:r>
                <m:t>σ</m:t>
              </m:r>
            </m:e>
            <m:sub>
              <m:r>
                <m:t>p</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sub>
                  </m:sSub>
                </m:e>
              </m:nary>
            </m:e>
          </m:nary>
          <m:sSub>
            <m:e>
              <m:r>
                <m:t>w</m:t>
              </m:r>
            </m:e>
            <m:sub>
              <m:r>
                <m:t>j</m:t>
              </m:r>
            </m:sub>
          </m:sSub>
          <m:sSub>
            <m:e>
              <m:r>
                <m:t>σ</m:t>
              </m:r>
            </m:e>
            <m:sub>
              <m:r>
                <m:t>i</m:t>
              </m:r>
              <m:r>
                <m:t>j</m:t>
              </m:r>
            </m:sub>
          </m:sSub>
          <m:r>
            <m:rPr>
              <m:sty m:val="p"/>
            </m:rPr>
            <m:t>=</m:t>
          </m:r>
          <m:sSup>
            <m:e>
              <m:r>
                <m:rPr>
                  <m:sty m:val="bi"/>
                </m:rPr>
                <m:t>w</m:t>
              </m:r>
            </m:e>
            <m:sup>
              <m:r>
                <m:rPr>
                  <m:sty m:val="p"/>
                </m:rPr>
                <m:t>T</m:t>
              </m:r>
            </m:sup>
          </m:sSup>
          <m:r>
            <m:rPr>
              <m:sty m:val="b"/>
            </m:rPr>
            <m:t>Σ</m:t>
          </m:r>
          <m:r>
            <m:rPr>
              <m:sty m:val="bi"/>
            </m:rPr>
            <m:t>w</m:t>
          </m:r>
          <m:r>
            <m:rPr>
              <m:sty m:val="p"/>
            </m:rPr>
            <m:t>.</m:t>
          </m:r>
        </m:oMath>
      </m:oMathPara>
    </w:p>
    <w:p>
      <w:pPr>
        <w:pStyle w:val="FirstParagraph"/>
      </w:pPr>
      <w:r>
        <w:t xml:space="preserve">Long-only investing imposes</w:t>
      </w:r>
      <w:r>
        <w:t xml:space="preserve"> </w:t>
      </w:r>
      <m:oMath>
        <m:sSub>
          <m:e>
            <m:r>
              <m:t>w</m:t>
            </m:r>
          </m:e>
          <m:sub>
            <m:r>
              <m:t>i</m:t>
            </m:r>
          </m:sub>
        </m:sSub>
        <m:r>
          <m:rPr>
            <m:sty m:val="p"/>
          </m:rPr>
          <m:t>≥</m:t>
        </m:r>
        <m:r>
          <m:t>0</m:t>
        </m:r>
      </m:oMath>
      <w:r>
        <w:t xml:space="preserve"> </w:t>
      </w:r>
      <w:r>
        <w:t xml:space="preserve">and</w:t>
      </w:r>
      <w:r>
        <w:t xml:space="preserve"> </w:t>
      </w:r>
      <m:oMath>
        <m:nary>
          <m:naryPr>
            <m:chr m:val="∑"/>
            <m:limLoc m:val="undOvr"/>
            <m:subHide m:val="off"/>
            <m:supHide m:val="on"/>
          </m:naryPr>
          <m:sub>
            <m:r>
              <m:t>i</m:t>
            </m:r>
          </m:sub>
          <m:sup>
            <m:r>
              <m:t>​</m:t>
            </m:r>
          </m:sup>
          <m:e>
            <m:sSub>
              <m:e>
                <m:r>
                  <m:t>w</m:t>
                </m:r>
              </m:e>
              <m:sub>
                <m:r>
                  <m:t>i</m:t>
                </m:r>
              </m:sub>
            </m:sSub>
          </m:e>
        </m:nary>
        <m:r>
          <m:rPr>
            <m:sty m:val="p"/>
          </m:rPr>
          <m:t>=</m:t>
        </m:r>
        <m:r>
          <m:t>1</m:t>
        </m:r>
      </m:oMath>
      <w:r>
        <w:t xml:space="preserve">. Short-selling, if allowed, relaxes non-negativity but introduces operational and collateral constraints the PRD leaves as an optional flag defaulting to false for the demonstration.</w:t>
      </w:r>
    </w:p>
    <w:bookmarkEnd w:id="13"/>
    <w:bookmarkStart w:id="14" w:name="global-minimum-variance-portfolio"/>
    <w:p>
      <w:pPr>
        <w:pStyle w:val="Heading3"/>
      </w:pPr>
      <w:r>
        <w:t xml:space="preserve">2.2 Global minimum variance portfolio</w:t>
      </w:r>
    </w:p>
    <w:p>
      <w:pPr>
        <w:pStyle w:val="FirstParagraph"/>
      </w:pPr>
      <w:r>
        <w:t xml:space="preserve">Among all fully invested long-only portfolios, one may seek the portfolio with minimum variance—useful as a benchmark and as an anchor for frontier tracing. A closed-form solution exists for the unconstrained fully invested problem in terms of</w:t>
      </w:r>
      <w:r>
        <w:t xml:space="preserve"> </w:t>
      </w:r>
      <m:oMath>
        <m:sSup>
          <m:e>
            <m:r>
              <m:rPr>
                <m:sty m:val="b"/>
              </m:rPr>
              <m:t>Σ</m:t>
            </m:r>
          </m:e>
          <m:sup>
            <m:r>
              <m:rPr>
                <m:sty m:val="p"/>
              </m:rPr>
              <m:t>−</m:t>
            </m:r>
            <m:r>
              <m:t>1</m:t>
            </m:r>
          </m:sup>
        </m:sSup>
      </m:oMath>
      <w:r>
        <w:t xml:space="preserve"> </w:t>
      </w:r>
      <w:r>
        <w:t xml:space="preserve">and the vector of ones</w:t>
      </w:r>
      <w:r>
        <w:t xml:space="preserve"> </w:t>
      </w:r>
      <m:oMath>
        <m:r>
          <m:rPr>
            <m:sty m:val="b"/>
          </m:rPr>
          <m:t>1</m:t>
        </m:r>
      </m:oMath>
      <w:r>
        <w:t xml:space="preserve">. The GMVP weights are:</w:t>
      </w:r>
    </w:p>
    <w:p>
      <w:pPr>
        <w:pStyle w:val="BodyText"/>
      </w:pPr>
      <m:oMathPara>
        <m:oMathParaPr>
          <m:jc m:val="center"/>
        </m:oMathParaPr>
        <m:oMath>
          <m:sSub>
            <m:e>
              <m:r>
                <m:rPr>
                  <m:sty m:val="bi"/>
                </m:rPr>
                <m:t>w</m:t>
              </m:r>
            </m:e>
            <m:sub>
              <m:r>
                <m:rPr>
                  <m:sty m:val="p"/>
                </m:rPr>
                <m:t>G</m:t>
              </m:r>
              <m:r>
                <m:rPr>
                  <m:sty m:val="p"/>
                </m:rPr>
                <m:t>M</m:t>
              </m:r>
              <m:r>
                <m:rPr>
                  <m:sty m:val="p"/>
                </m:rPr>
                <m:t>V</m:t>
              </m:r>
              <m:r>
                <m:rPr>
                  <m:sty m:val="p"/>
                </m:rPr>
                <m:t>P</m:t>
              </m:r>
            </m:sub>
          </m:sSub>
          <m:r>
            <m:rPr>
              <m:sty m:val="p"/>
            </m:rPr>
            <m:t>=</m:t>
          </m:r>
          <m:f>
            <m:fPr>
              <m:type m:val="bar"/>
            </m:fPr>
            <m:num>
              <m:sSup>
                <m:e>
                  <m:r>
                    <m:rPr>
                      <m:sty m:val="b"/>
                    </m:rPr>
                    <m:t>Σ</m:t>
                  </m:r>
                </m:e>
                <m:sup>
                  <m:r>
                    <m:rPr>
                      <m:sty m:val="p"/>
                    </m:rPr>
                    <m:t>−</m:t>
                  </m:r>
                  <m:r>
                    <m:t>1</m:t>
                  </m:r>
                </m:sup>
              </m:sSup>
              <m:r>
                <m:rPr>
                  <m:sty m:val="b"/>
                </m:rPr>
                <m:t>1</m:t>
              </m:r>
            </m:num>
            <m:den>
              <m:sSup>
                <m:e>
                  <m:r>
                    <m:rPr>
                      <m:sty m:val="b"/>
                    </m:rPr>
                    <m:t>1</m:t>
                  </m:r>
                </m:e>
                <m:sup>
                  <m:r>
                    <m:rPr>
                      <m:sty m:val="p"/>
                    </m:rPr>
                    <m:t>T</m:t>
                  </m:r>
                </m:sup>
              </m:sSup>
              <m:sSup>
                <m:e>
                  <m:r>
                    <m:rPr>
                      <m:sty m:val="b"/>
                    </m:rPr>
                    <m:t>Σ</m:t>
                  </m:r>
                </m:e>
                <m:sup>
                  <m:r>
                    <m:rPr>
                      <m:sty m:val="p"/>
                    </m:rPr>
                    <m:t>−</m:t>
                  </m:r>
                  <m:r>
                    <m:t>1</m:t>
                  </m:r>
                </m:sup>
              </m:sSup>
              <m:r>
                <m:rPr>
                  <m:sty m:val="b"/>
                </m:rPr>
                <m:t>1</m:t>
              </m:r>
            </m:den>
          </m:f>
          <m:r>
            <m:rPr>
              <m:sty m:val="p"/>
            </m:rPr>
            <m:t>.</m:t>
          </m:r>
        </m:oMath>
      </m:oMathPara>
    </w:p>
    <w:p>
      <w:pPr>
        <w:pStyle w:val="FirstParagraph"/>
      </w:pPr>
      <w:r>
        <w:t xml:space="preserve">In practice, numerical stability prefers solving linear systems rather than naive inversion when condition numbers are large; nonetheless, Excel’s matrix functions and NumPy’s</w:t>
      </w:r>
      <w:r>
        <w:t xml:space="preserve"> </w:t>
      </w:r>
      <w:r>
        <w:rPr>
          <w:rStyle w:val="VerbatimChar"/>
        </w:rPr>
        <w:t xml:space="preserve">linalg</w:t>
      </w:r>
      <w:r>
        <w:t xml:space="preserve"> </w:t>
      </w:r>
      <w:r>
        <w:t xml:space="preserve">provide an auditable pair. The PRD requires verifying positive definiteness or at least usable numerical behavior via determinants or eigenvalues.</w:t>
      </w:r>
    </w:p>
    <w:bookmarkEnd w:id="14"/>
    <w:bookmarkStart w:id="15" w:name="X4c1a2f68303a1954c9003d74d46a0fbed7791b4"/>
    <w:p>
      <w:pPr>
        <w:pStyle w:val="Heading3"/>
      </w:pPr>
      <w:r>
        <w:t xml:space="preserve">2.3 The efficient frontier as a constrained quadratic program</w:t>
      </w:r>
    </w:p>
    <w:p>
      <w:pPr>
        <w:pStyle w:val="FirstParagraph"/>
      </w:pPr>
      <w:r>
        <w:t xml:space="preserve">The efficient frontier is the set of portfolios that minimize variance for a given target expected return, subject to a budget constraint and any additional constraints the problem imposes. For a long-only fully invested portfolio, each frontier point solves:</w:t>
      </w:r>
    </w:p>
    <w:p>
      <w:pPr>
        <w:pStyle w:val="BodyText"/>
      </w:pPr>
      <m:oMathPara>
        <m:oMathParaPr>
          <m:jc m:val="center"/>
        </m:oMathParaPr>
        <m:oMath>
          <m:limLow>
            <m:e>
              <m:r>
                <m:rPr>
                  <m:sty m:val="p"/>
                </m:rPr>
                <m:t>min</m:t>
              </m:r>
            </m:e>
            <m:lim>
              <m:r>
                <m:rPr>
                  <m:sty m:val="bi"/>
                </m:rPr>
                <m:t>w</m:t>
              </m:r>
            </m:lim>
          </m:limLow>
          <m:r>
            <m:t> </m:t>
          </m:r>
          <m:sSup>
            <m:e>
              <m:r>
                <m:rPr>
                  <m:sty m:val="bi"/>
                </m:rPr>
                <m:t>w</m:t>
              </m:r>
            </m:e>
            <m:sup>
              <m:r>
                <m:rPr>
                  <m:sty m:val="p"/>
                </m:rPr>
                <m:t>T</m:t>
              </m:r>
            </m:sup>
          </m:sSup>
          <m:r>
            <m:rPr>
              <m:sty m:val="b"/>
            </m:rPr>
            <m:t>Σ</m:t>
          </m:r>
          <m:r>
            <m:rPr>
              <m:sty m:val="bi"/>
            </m:rPr>
            <m:t>w</m:t>
          </m:r>
          <m:r>
            <m:t> </m:t>
          </m:r>
          <m:r>
            <m:rPr>
              <m:nor/>
              <m:sty m:val="p"/>
            </m:rPr>
            <m:t>s.t.</m:t>
          </m:r>
          <m:r>
            <m:t> </m:t>
          </m:r>
          <m:sSup>
            <m:e>
              <m:r>
                <m:rPr>
                  <m:sty m:val="bi"/>
                </m:rPr>
                <m:t>w</m:t>
              </m:r>
            </m:e>
            <m:sup>
              <m:r>
                <m:rPr>
                  <m:sty m:val="p"/>
                </m:rPr>
                <m:t>T</m:t>
              </m:r>
            </m:sup>
          </m:sSup>
          <m:r>
            <m:rPr>
              <m:sty m:val="bi"/>
            </m:rPr>
            <m:t>μ</m:t>
          </m:r>
          <m:r>
            <m:rPr>
              <m:sty m:val="p"/>
            </m:rPr>
            <m:t>=</m:t>
          </m:r>
          <m:sSub>
            <m:e>
              <m:r>
                <m:t>μ</m:t>
              </m:r>
            </m:e>
            <m:sub>
              <m:r>
                <m:rPr>
                  <m:nor/>
                  <m:sty m:val="p"/>
                </m:rPr>
                <m:t>target</m:t>
              </m:r>
            </m:sub>
          </m:sSub>
          <m:r>
            <m:rPr>
              <m:sty m:val="p"/>
            </m:rPr>
            <m:t>,</m:t>
          </m:r>
          <m:r>
            <m:t> </m:t>
          </m:r>
          <m:sSup>
            <m:e>
              <m:r>
                <m:rPr>
                  <m:sty m:val="b"/>
                </m:rPr>
                <m:t>1</m:t>
              </m:r>
            </m:e>
            <m:sup>
              <m:r>
                <m:rPr>
                  <m:sty m:val="p"/>
                </m:rPr>
                <m:t>T</m:t>
              </m:r>
            </m:sup>
          </m:sSup>
          <m:r>
            <m:rPr>
              <m:sty m:val="bi"/>
            </m:rPr>
            <m:t>w</m:t>
          </m:r>
          <m:r>
            <m:rPr>
              <m:sty m:val="p"/>
            </m:rPr>
            <m:t>=</m:t>
          </m:r>
          <m:r>
            <m:t>1</m:t>
          </m:r>
          <m:r>
            <m:rPr>
              <m:sty m:val="p"/>
            </m:rPr>
            <m:t>,</m:t>
          </m:r>
          <m:r>
            <m:t> </m:t>
          </m:r>
          <m:r>
            <m:t>0</m:t>
          </m:r>
          <m:r>
            <m:rPr>
              <m:sty m:val="p"/>
            </m:rPr>
            <m:t>≤</m:t>
          </m:r>
          <m:sSub>
            <m:e>
              <m:r>
                <m:t>w</m:t>
              </m:r>
            </m:e>
            <m:sub>
              <m:r>
                <m:t>i</m:t>
              </m:r>
            </m:sub>
          </m:sSub>
          <m:r>
            <m:rPr>
              <m:sty m:val="p"/>
            </m:rPr>
            <m:t>≤</m:t>
          </m:r>
          <m:sSub>
            <m:e>
              <m:r>
                <m:t>w</m:t>
              </m:r>
            </m:e>
            <m:sub>
              <m:r>
                <m:rPr>
                  <m:sty m:val="p"/>
                </m:rPr>
                <m:t>max</m:t>
              </m:r>
            </m:sub>
          </m:sSub>
          <m:r>
            <m:rPr>
              <m:sty m:val="p"/>
            </m:rPr>
            <m:t>.</m:t>
          </m:r>
        </m:oMath>
      </m:oMathPara>
    </w:p>
    <w:p>
      <w:pPr>
        <w:pStyle w:val="FirstParagraph"/>
      </w:pPr>
      <w:r>
        <w:t xml:space="preserve">The implementation sweeps one hundred target returns from the long-only GMVP return to an analytical upper endpoint derived from the constraint set, producing a polyline in</w:t>
      </w:r>
      <w:r>
        <w:t xml:space="preserve"> </w:t>
      </w:r>
      <m:oMath>
        <m:r>
          <m:rPr>
            <m:sty m:val="p"/>
          </m:rPr>
          <m:t>(</m:t>
        </m:r>
        <m:sSub>
          <m:e>
            <m:r>
              <m:t>σ</m:t>
            </m:r>
          </m:e>
          <m:sub>
            <m:r>
              <m:t>p</m:t>
            </m:r>
          </m:sub>
        </m:sSub>
        <m:r>
          <m:rPr>
            <m:sty m:val="p"/>
          </m:rPr>
          <m:t>,</m:t>
        </m:r>
        <m:r>
          <m:t>E</m:t>
        </m:r>
        <m:r>
          <m:rPr>
            <m:sty m:val="p"/>
          </m:rPr>
          <m:t>(</m:t>
        </m:r>
        <m:sSub>
          <m:e>
            <m:r>
              <m:t>r</m:t>
            </m:r>
          </m:e>
          <m:sub>
            <m:r>
              <m:t>p</m:t>
            </m:r>
          </m:sub>
        </m:sSub>
        <m:r>
          <m:rPr>
            <m:sty m:val="p"/>
          </m:rPr>
          <m:t>)</m:t>
        </m:r>
        <m:r>
          <m:rPr>
            <m:sty m:val="p"/>
          </m:rPr>
          <m:t>)</m:t>
        </m:r>
      </m:oMath>
      <w:r>
        <w:t xml:space="preserve"> </w:t>
      </w:r>
      <w:r>
        <w:t xml:space="preserve">space. Monotonic ascending volatility along the sorted frontier is a standard sanity check; the frontier is inherently convex in this space, so any deviation indicates an optimizer tolerance issue rather than a geometric surprise.</w:t>
      </w:r>
    </w:p>
    <w:p>
      <w:pPr>
        <w:pStyle w:val="BodyText"/>
      </w:pPr>
      <w:r>
        <w:t xml:space="preserve">The project implements two frontier variants on the same asset universe, which the PRD identifies as a pedagogically important contrast. The long-only variant imposes</w:t>
      </w:r>
      <w:r>
        <w:t xml:space="preserve"> </w:t>
      </w:r>
      <m:oMath>
        <m:sSub>
          <m:e>
            <m:r>
              <m:t>w</m:t>
            </m:r>
          </m:e>
          <m:sub>
            <m:r>
              <m:t>i</m:t>
            </m:r>
          </m:sub>
        </m:sSub>
        <m:r>
          <m:rPr>
            <m:sty m:val="p"/>
          </m:rPr>
          <m:t>≥</m:t>
        </m:r>
        <m:r>
          <m:t>0</m:t>
        </m:r>
      </m:oMath>
      <w:r>
        <w:t xml:space="preserve">, reflecting the realistic constraint under which retail investors in the target fund universe (Singapore-listed FSMOne funds) actually operate. The short-allowed variant relaxes this to</w:t>
      </w:r>
      <w:r>
        <w:t xml:space="preserve"> </w:t>
      </w:r>
      <m:oMath>
        <m:sSub>
          <m:e>
            <m:r>
              <m:t>w</m:t>
            </m:r>
          </m:e>
          <m:sub>
            <m:r>
              <m:t>i</m:t>
            </m:r>
          </m:sub>
        </m:sSub>
        <m:r>
          <m:rPr>
            <m:sty m:val="p"/>
          </m:rPr>
          <m:t>∈</m:t>
        </m:r>
        <m:r>
          <m:rPr>
            <m:sty m:val="p"/>
          </m:rPr>
          <m:t>[</m:t>
        </m:r>
        <m:r>
          <m:rPr>
            <m:sty m:val="p"/>
          </m:rPr>
          <m:t>−</m:t>
        </m:r>
        <m:r>
          <m:t>1</m:t>
        </m:r>
        <m:r>
          <m:rPr>
            <m:sty m:val="p"/>
          </m:rPr>
          <m:t>,</m:t>
        </m:r>
        <m:r>
          <m:t>2</m:t>
        </m:r>
        <m:r>
          <m:rPr>
            <m:sty m:val="p"/>
          </m:rPr>
          <m:t>]</m:t>
        </m:r>
      </m:oMath>
      <w:r>
        <w:t xml:space="preserve">, permitting each asset to be shorted up to the full capital base or levered up to twice the capital base. This bounded-short formulation is a deliberate compromise between two extremes. Unconstrained shorts (</w:t>
      </w:r>
      <m:oMath>
        <m:sSub>
          <m:e>
            <m:r>
              <m:t>w</m:t>
            </m:r>
          </m:e>
          <m:sub>
            <m:r>
              <m:t>i</m:t>
            </m:r>
          </m:sub>
        </m:sSub>
      </m:oMath>
      <w:r>
        <w:t xml:space="preserve"> </w:t>
      </w:r>
      <w:r>
        <w:t xml:space="preserve">on the real line) are the textbook Markowitz case but produce pathological solutions on real data: on the implemented dataset, the unconstrained tangency portfolio exhibits gross leverage above 15× and a negative Sharpe ratio, due to the error-amplification behavior of</w:t>
      </w:r>
      <w:r>
        <w:t xml:space="preserve"> </w:t>
      </w:r>
      <m:oMath>
        <m:sSup>
          <m:e>
            <m:r>
              <m:rPr>
                <m:sty m:val="b"/>
              </m:rPr>
              <m:t>Σ</m:t>
            </m:r>
          </m:e>
          <m:sup>
            <m:r>
              <m:rPr>
                <m:sty m:val="p"/>
              </m:rPr>
              <m:t>−</m:t>
            </m:r>
            <m:r>
              <m:t>1</m:t>
            </m:r>
          </m:sup>
        </m:sSup>
      </m:oMath>
      <w:r>
        <w:t xml:space="preserve"> </w:t>
      </w:r>
      <w:r>
        <w:t xml:space="preserve">on a near-collinear equity universe containing at least one asset with sample mean below the risk-free rate. The</w:t>
      </w:r>
      <w:r>
        <w:t xml:space="preserve"> </w:t>
      </w:r>
      <m:oMath>
        <m:r>
          <m:rPr>
            <m:sty m:val="p"/>
          </m:rPr>
          <m:t>[</m:t>
        </m:r>
        <m:r>
          <m:rPr>
            <m:sty m:val="p"/>
          </m:rPr>
          <m:t>−</m:t>
        </m:r>
        <m:r>
          <m:t>1</m:t>
        </m:r>
        <m:r>
          <m:rPr>
            <m:sty m:val="p"/>
          </m:rPr>
          <m:t>,</m:t>
        </m:r>
        <m:r>
          <m:t>2</m:t>
        </m:r>
        <m:r>
          <m:rPr>
            <m:sty m:val="p"/>
          </m:rPr>
          <m:t>]</m:t>
        </m:r>
      </m:oMath>
      <w:r>
        <w:t xml:space="preserve"> </w:t>
      </w:r>
      <w:r>
        <w:t xml:space="preserve">bounds are recognizable as conventional hedge-fund-style leverage constraints, produce numerically stable frontiers, and illustrate the genuine variance-reduction benefit of permitting selective short exposure without the instability of the unconstrained case.</w:t>
      </w:r>
    </w:p>
    <w:p>
      <w:pPr>
        <w:pStyle w:val="BodyText"/>
      </w:pPr>
      <w:r>
        <w:t xml:space="preserve">The sweep endpoints differ between the two variants. The long-only sweep runs from the long-only GMVP return (lower endpoint) to the maximum individual asset mean (upper endpoint, attainable by concentrating the portfolio in the single highest-return asset within the bound</w:t>
      </w:r>
      <w:r>
        <w:t xml:space="preserve"> </w:t>
      </w:r>
      <m:oMath>
        <m:sSub>
          <m:e>
            <m:r>
              <m:t>w</m:t>
            </m:r>
          </m:e>
          <m:sub>
            <m:r>
              <m:t>i</m:t>
            </m:r>
          </m:sub>
        </m:sSub>
        <m:r>
          <m:rPr>
            <m:sty m:val="p"/>
          </m:rPr>
          <m:t>≤</m:t>
        </m:r>
        <m:sSub>
          <m:e>
            <m:r>
              <m:t>w</m:t>
            </m:r>
          </m:e>
          <m:sub>
            <m:r>
              <m:rPr>
                <m:sty m:val="p"/>
              </m:rPr>
              <m:t>max</m:t>
            </m:r>
          </m:sub>
        </m:sSub>
      </m:oMath>
      <w:r>
        <w:t xml:space="preserve">). The short-allowed sweep runs from the short-allowed GMVP return to the analytical upper bound</w:t>
      </w:r>
      <w:r>
        <w:t xml:space="preserve"> </w:t>
      </w:r>
      <m:oMath>
        <m:r>
          <m:t>2</m:t>
        </m:r>
        <m:sSub>
          <m:e>
            <m:r>
              <m:t>μ</m:t>
            </m:r>
          </m:e>
          <m:sub>
            <m:r>
              <m:rPr>
                <m:sty m:val="p"/>
              </m:rPr>
              <m:t>max</m:t>
            </m:r>
          </m:sub>
        </m:sSub>
        <m:r>
          <m:rPr>
            <m:sty m:val="p"/>
          </m:rPr>
          <m:t>−</m:t>
        </m:r>
        <m:sSub>
          <m:e>
            <m:r>
              <m:t>μ</m:t>
            </m:r>
          </m:e>
          <m:sub>
            <m:r>
              <m:rPr>
                <m:sty m:val="p"/>
              </m:rPr>
              <m:t>min</m:t>
            </m:r>
          </m:sub>
        </m:sSub>
      </m:oMath>
      <w:r>
        <w:t xml:space="preserve">, which is the maximum achievable expected return under</w:t>
      </w:r>
      <w:r>
        <w:t xml:space="preserve"> </w:t>
      </w:r>
      <m:oMath>
        <m:r>
          <m:t>w</m:t>
        </m:r>
        <m:r>
          <m:rPr>
            <m:sty m:val="p"/>
          </m:rPr>
          <m:t>∈</m:t>
        </m:r>
        <m:r>
          <m:rPr>
            <m:sty m:val="p"/>
          </m:rPr>
          <m:t>[</m:t>
        </m:r>
        <m:r>
          <m:rPr>
            <m:sty m:val="p"/>
          </m:rPr>
          <m:t>−</m:t>
        </m:r>
        <m:r>
          <m:t>1</m:t>
        </m:r>
        <m:r>
          <m:rPr>
            <m:sty m:val="p"/>
          </m:rPr>
          <m:t>,</m:t>
        </m:r>
        <m:r>
          <m:t>2</m:t>
        </m:r>
        <m:r>
          <m:rPr>
            <m:sty m:val="p"/>
          </m:rPr>
          <m:t>]</m:t>
        </m:r>
      </m:oMath>
      <w:r>
        <w:t xml:space="preserve"> </w:t>
      </w:r>
      <w:r>
        <w:t xml:space="preserve">with</w:t>
      </w:r>
      <w:r>
        <w:t xml:space="preserve"> </w:t>
      </w:r>
      <m:oMath>
        <m:r>
          <m:rPr>
            <m:sty m:val="p"/>
          </m:rPr>
          <m:t>∑</m:t>
        </m:r>
        <m:r>
          <m:t>w</m:t>
        </m:r>
        <m:r>
          <m:rPr>
            <m:sty m:val="p"/>
          </m:rPr>
          <m:t>=</m:t>
        </m:r>
        <m:r>
          <m:t>1</m:t>
        </m:r>
      </m:oMath>
      <w:r>
        <w:t xml:space="preserve">: assign</w:t>
      </w:r>
      <w:r>
        <w:t xml:space="preserve"> </w:t>
      </w:r>
      <m:oMath>
        <m:r>
          <m:rPr>
            <m:sty m:val="p"/>
          </m:rPr>
          <m:t>+</m:t>
        </m:r>
        <m:r>
          <m:t>2</m:t>
        </m:r>
      </m:oMath>
      <w:r>
        <w:t xml:space="preserve"> </w:t>
      </w:r>
      <w:r>
        <w:t xml:space="preserve">to the highest-mean asset,</w:t>
      </w:r>
      <w:r>
        <w:t xml:space="preserve"> </w:t>
      </w:r>
      <m:oMath>
        <m:r>
          <m:rPr>
            <m:sty m:val="p"/>
          </m:rPr>
          <m:t>−</m:t>
        </m:r>
        <m:r>
          <m:t>1</m:t>
        </m:r>
      </m:oMath>
      <w:r>
        <w:t xml:space="preserve"> </w:t>
      </w:r>
      <w:r>
        <w:t xml:space="preserve">to the lowest, and</w:t>
      </w:r>
      <w:r>
        <w:t xml:space="preserve"> </w:t>
      </w:r>
      <m:oMath>
        <m:r>
          <m:t>0</m:t>
        </m:r>
      </m:oMath>
      <w:r>
        <w:t xml:space="preserve"> </w:t>
      </w:r>
      <w:r>
        <w:t xml:space="preserve">elsewhere. Computing this endpoint analytically, rather than by numerical search, guarantees that the short-allowed frontier extends to its true rightmost point rather than being silently truncated.</w:t>
      </w:r>
    </w:p>
    <w:p>
      <w:pPr>
        <w:pStyle w:val="BodyText"/>
      </w:pPr>
      <w:r>
        <w:t xml:space="preserve">The resulting visual contrast on the frontier chart conveys the central pedagogical message of the mean–variance framework: relaxing short-sale constraints can only expand the feasible set, so the short-allowed frontier must dominate the long-only frontier at any matched volatility level (the expected return is at least as high). On the implemented dataset, the short-allowed frontier yields a tangency Sharpe ratio of approximately 1.09 against the long-only capped Sharpe of approximately 0.79 — a 38% improvement that should be interpreted with appropriate caution. The improvement reflects the specific historical outperformance of US large-cap growth (represented by SPY, QQQ, and XLV in long positions) against world and regional equity and against real estate (URTH, VT, VNQ, AOA in short positions) over the 2013–2026 sample window. It is an in-sample observation about a particular decade, not a forward-looking investment recommendation. The frontend interface renders both frontiers on the same axes with distinct line styles and a shared volatility-return coordinate system, enabling direct visual comparison while making the regime labeling unambiguous through the chart legend.</w:t>
      </w:r>
    </w:p>
    <w:bookmarkEnd w:id="15"/>
    <w:bookmarkStart w:id="16" w:name="meanvariance-utility-and-risk-aversion"/>
    <w:p>
      <w:pPr>
        <w:pStyle w:val="Heading3"/>
      </w:pPr>
      <w:r>
        <w:t xml:space="preserve">2.4 Mean–variance utility and risk aversion</w:t>
      </w:r>
    </w:p>
    <w:p>
      <w:pPr>
        <w:pStyle w:val="FirstParagraph"/>
      </w:pPr>
      <w:r>
        <w:t xml:space="preserve">Expected utility maximization under Gaussian returns motivates the mean–variance objective. The tractable specification used here is:</w:t>
      </w:r>
    </w:p>
    <w:p>
      <w:pPr>
        <w:pStyle w:val="BodyText"/>
      </w:pPr>
      <m:oMathPara>
        <m:oMathParaPr>
          <m:jc m:val="center"/>
        </m:oMathParaPr>
        <m:oMath>
          <m:r>
            <m:t>U</m:t>
          </m:r>
          <m:r>
            <m:rPr>
              <m:sty m:val="p"/>
            </m:rPr>
            <m:t>(</m:t>
          </m:r>
          <m:r>
            <m:rPr>
              <m:sty m:val="bi"/>
            </m:rPr>
            <m:t>w</m:t>
          </m:r>
          <m:r>
            <m:rPr>
              <m:sty m:val="p"/>
            </m:rPr>
            <m:t>)</m:t>
          </m:r>
          <m:r>
            <m:rPr>
              <m:sty m:val="p"/>
            </m:rPr>
            <m:t>=</m:t>
          </m:r>
          <m:r>
            <m:t>E</m:t>
          </m:r>
          <m:r>
            <m:rPr>
              <m:sty m:val="p"/>
            </m:rPr>
            <m:t>(</m:t>
          </m:r>
          <m:sSub>
            <m:e>
              <m:r>
                <m:t>r</m:t>
              </m:r>
            </m:e>
            <m:sub>
              <m:r>
                <m:t>p</m:t>
              </m:r>
            </m:sub>
          </m:sSub>
          <m:r>
            <m:rPr>
              <m:sty m:val="p"/>
            </m:rPr>
            <m:t>)</m:t>
          </m:r>
          <m:r>
            <m:rPr>
              <m:sty m:val="p"/>
            </m:rPr>
            <m:t>−</m:t>
          </m:r>
          <m:f>
            <m:fPr>
              <m:type m:val="bar"/>
            </m:fPr>
            <m:num>
              <m:r>
                <m:t>1</m:t>
              </m:r>
            </m:num>
            <m:den>
              <m:r>
                <m:t>2</m:t>
              </m:r>
            </m:den>
          </m:f>
          <m:r>
            <m:t>A</m:t>
          </m:r>
          <m:sSubSup>
            <m:e>
              <m:r>
                <m:t>σ</m:t>
              </m:r>
            </m:e>
            <m:sub>
              <m:r>
                <m:t>p</m:t>
              </m:r>
            </m:sub>
            <m:sup>
              <m:r>
                <m:t>2</m:t>
              </m:r>
            </m:sup>
          </m:sSubSup>
          <m:r>
            <m:rPr>
              <m:sty m:val="p"/>
            </m:rPr>
            <m:t>,</m:t>
          </m:r>
        </m:oMath>
      </m:oMathPara>
    </w:p>
    <w:p>
      <w:pPr>
        <w:pStyle w:val="FirstParagraph"/>
      </w:pPr>
      <w:r>
        <w:t xml:space="preserve">where</w:t>
      </w:r>
      <w:r>
        <w:t xml:space="preserve"> </w:t>
      </w:r>
      <m:oMath>
        <m:r>
          <m:t>A</m:t>
        </m:r>
        <m:r>
          <m:rPr>
            <m:sty m:val="p"/>
          </m:rPr>
          <m:t>&gt;</m:t>
        </m:r>
        <m:r>
          <m:t>0</m:t>
        </m:r>
      </m:oMath>
      <w:r>
        <w:t xml:space="preserve"> </w:t>
      </w:r>
      <w:r>
        <w:t xml:space="preserve">is the investor’s risk aversion coefficient. Higher</w:t>
      </w:r>
      <w:r>
        <w:t xml:space="preserve"> </w:t>
      </w:r>
      <m:oMath>
        <m:r>
          <m:t>A</m:t>
        </m:r>
      </m:oMath>
      <w:r>
        <w:t xml:space="preserve"> </w:t>
      </w:r>
      <w:r>
        <w:t xml:space="preserve">penalizes variance more strongly, shifting the optimal portfolio toward lower-variance allocations. The backend maximizes</w:t>
      </w:r>
      <w:r>
        <w:t xml:space="preserve"> </w:t>
      </w:r>
      <m:oMath>
        <m:r>
          <m:t>U</m:t>
        </m:r>
      </m:oMath>
      <w:r>
        <w:t xml:space="preserve"> </w:t>
      </w:r>
      <w:r>
        <w:t xml:space="preserve">by minimizing</w:t>
      </w:r>
      <w:r>
        <w:t xml:space="preserve"> </w:t>
      </w:r>
      <m:oMath>
        <m:r>
          <m:rPr>
            <m:sty m:val="p"/>
          </m:rPr>
          <m:t>−</m:t>
        </m:r>
        <m:r>
          <m:t>U</m:t>
        </m:r>
      </m:oMath>
      <w:r>
        <w:t xml:space="preserve"> </w:t>
      </w:r>
      <w:r>
        <w:t xml:space="preserve">via SLSQP, subject to the sum-to-one constraint, the long-only constraint</w:t>
      </w:r>
      <w:r>
        <w:t xml:space="preserve"> </w:t>
      </w:r>
      <m:oMath>
        <m:sSub>
          <m:e>
            <m:r>
              <m:t>w</m:t>
            </m:r>
          </m:e>
          <m:sub>
            <m:r>
              <m:t>i</m:t>
            </m:r>
          </m:sub>
        </m:sSub>
        <m:r>
          <m:rPr>
            <m:sty m:val="p"/>
          </m:rPr>
          <m:t>≥</m:t>
        </m:r>
        <m:r>
          <m:t>0</m:t>
        </m:r>
      </m:oMath>
      <w:r>
        <w:t xml:space="preserve">, and a per-asset upper bound</w:t>
      </w:r>
      <w:r>
        <w:t xml:space="preserve"> </w:t>
      </w:r>
      <m:oMath>
        <m:sSub>
          <m:e>
            <m:r>
              <m:t>w</m:t>
            </m:r>
          </m:e>
          <m:sub>
            <m:r>
              <m:t>i</m:t>
            </m:r>
          </m:sub>
        </m:sSub>
        <m:r>
          <m:rPr>
            <m:sty m:val="p"/>
          </m:rPr>
          <m:t>≤</m:t>
        </m:r>
        <m:sSub>
          <m:e>
            <m:r>
              <m:t>w</m:t>
            </m:r>
          </m:e>
          <m:sub>
            <m:r>
              <m:rPr>
                <m:sty m:val="p"/>
              </m:rPr>
              <m:t>max</m:t>
            </m:r>
          </m:sub>
        </m:sSub>
      </m:oMath>
      <w:r>
        <w:t xml:space="preserve"> </w:t>
      </w:r>
      <w:r>
        <w:t xml:space="preserve">that defaults to 0.4 in the deployed configuration. The per-asset cap is a design choice, not a theoretical requirement of mean–variance analysis: unconstrained long-only Markowitz on this universe concentrates the optimum in the single highest-Sharpe asset for a wide range of risk-aversion values, a behavior mathematically correct but practically inadequate for a diversified investment recommendation. The 0.4 cap enforces meaningful diversification across at least three assets in the optimum and is documented to users and graders as the operative constraint of the deployed system.</w:t>
      </w:r>
    </w:p>
    <w:p>
      <w:pPr>
        <w:pStyle w:val="BodyText"/>
      </w:pPr>
      <w:r>
        <w:t xml:space="preserve">A consequence of the binding cap is worth noting because it shapes how the results are visualized. Without a cap, the utility-maximizing portfolio Optimal and the Sharpe-maximizing tangency portfolio (Tangency) are distinct points on the frontier, coinciding at exactly one critical risk-aversion value</w:t>
      </w:r>
      <w:r>
        <w:t xml:space="preserve"> </w:t>
      </w:r>
      <m:oMath>
        <m:sSup>
          <m:e>
            <m:r>
              <m:t>A</m:t>
            </m:r>
          </m:e>
          <m:sup>
            <m:r>
              <m:rPr>
                <m:sty m:val="p"/>
              </m:rPr>
              <m:t>*</m:t>
            </m:r>
          </m:sup>
        </m:sSup>
      </m:oMath>
      <w:r>
        <w:t xml:space="preserve">. Under a cap that binds on the highest-Sharpe assets, by contrast, both Optimal and Tangency collapse to the same corner of the feasible polytope for an entire</w:t>
      </w:r>
      <w:r>
        <w:t xml:space="preserve"> </w:t>
      </w:r>
      <w:r>
        <w:rPr>
          <w:i/>
          <w:iCs/>
        </w:rPr>
        <w:t xml:space="preserve">interval</w:t>
      </w:r>
      <w:r>
        <w:t xml:space="preserve"> </w:t>
      </w:r>
      <w:r>
        <w:t xml:space="preserve">of low-</w:t>
      </w:r>
      <m:oMath>
        <m:r>
          <m:t>A</m:t>
        </m:r>
      </m:oMath>
      <w:r>
        <w:t xml:space="preserve"> </w:t>
      </w:r>
      <w:r>
        <w:t xml:space="preserve">values, because the cap — not the utility function — becomes the binding determinant of the solution. On the implemented dataset with</w:t>
      </w:r>
      <w:r>
        <w:t xml:space="preserve"> </w:t>
      </w:r>
      <m:oMath>
        <m:sSub>
          <m:e>
            <m:r>
              <m:t>w</m:t>
            </m:r>
          </m:e>
          <m:sub>
            <m:r>
              <m:rPr>
                <m:sty m:val="p"/>
              </m:rPr>
              <m:t>max</m:t>
            </m:r>
          </m:sub>
        </m:sSub>
        <m:r>
          <m:rPr>
            <m:sty m:val="p"/>
          </m:rPr>
          <m:t>=</m:t>
        </m:r>
        <m:r>
          <m:t>0.4</m:t>
        </m:r>
      </m:oMath>
      <w:r>
        <w:t xml:space="preserve">, this interval extends approximately from</w:t>
      </w:r>
      <w:r>
        <w:t xml:space="preserve"> </w:t>
      </w:r>
      <m:oMath>
        <m:r>
          <m:t>A</m:t>
        </m:r>
        <m:r>
          <m:rPr>
            <m:sty m:val="p"/>
          </m:rPr>
          <m:t>=</m:t>
        </m:r>
        <m:r>
          <m:t>0</m:t>
        </m:r>
      </m:oMath>
      <w:r>
        <w:t xml:space="preserve"> </w:t>
      </w:r>
      <w:r>
        <w:t xml:space="preserve">through</w:t>
      </w:r>
      <w:r>
        <w:t xml:space="preserve"> </w:t>
      </w:r>
      <m:oMath>
        <m:r>
          <m:t>A</m:t>
        </m:r>
        <m:r>
          <m:rPr>
            <m:sty m:val="p"/>
          </m:rPr>
          <m:t>≈</m:t>
        </m:r>
        <m:r>
          <m:t>1.2</m:t>
        </m:r>
      </m:oMath>
      <w:r>
        <w:t xml:space="preserve">, over which the Optimal and Tangency points overlap on the frontier chart. For risk-aversion values above this interval, the cap ceases to bind on all top-Sharpe assets and the two portfolios separate. This cap-induced interval-coincidence is a generic feature of bounded-box mean–variance problems and is standard in portfolio management literature (see Jagannathan &amp; Ma, 2003, on the variance-reduction effects of binding weight constraints); it is not a bug in the visualization.</w:t>
      </w:r>
    </w:p>
    <w:bookmarkEnd w:id="16"/>
    <w:bookmarkStart w:id="17" w:name="sharpe-ratio-and-the-risk-free-asset"/>
    <w:p>
      <w:pPr>
        <w:pStyle w:val="Heading3"/>
      </w:pPr>
      <w:r>
        <w:t xml:space="preserve">2.5 Sharpe ratio and the risk-free asset</w:t>
      </w:r>
    </w:p>
    <w:p>
      <w:pPr>
        <w:pStyle w:val="FirstParagraph"/>
      </w:pPr>
      <w:r>
        <w:t xml:space="preserve">For reporting, the Sharpe ratio uses a risk-free rate</w:t>
      </w:r>
      <w:r>
        <w:t xml:space="preserve"> </w:t>
      </w:r>
      <m:oMath>
        <m:sSub>
          <m:e>
            <m:r>
              <m:t>r</m:t>
            </m:r>
          </m:e>
          <m:sub>
            <m:r>
              <m:t>f</m:t>
            </m:r>
          </m:sub>
        </m:sSub>
      </m:oMath>
      <w:r>
        <w:t xml:space="preserve">:</w:t>
      </w:r>
    </w:p>
    <w:p>
      <w:pPr>
        <w:pStyle w:val="BodyText"/>
      </w:pPr>
      <m:oMathPara>
        <m:oMathParaPr>
          <m:jc m:val="center"/>
        </m:oMathParaPr>
        <m:oMath>
          <m:sSub>
            <m:e>
              <m:r>
                <m:t>S</m:t>
              </m:r>
            </m:e>
            <m:sub>
              <m:r>
                <m:t>p</m:t>
              </m:r>
            </m:sub>
          </m:sSub>
          <m:r>
            <m:rPr>
              <m:sty m:val="p"/>
            </m:rPr>
            <m:t>=</m:t>
          </m:r>
          <m:f>
            <m:fPr>
              <m:type m:val="bar"/>
            </m:fPr>
            <m:num>
              <m:r>
                <m:t>E</m:t>
              </m:r>
              <m:r>
                <m:rPr>
                  <m:sty m:val="p"/>
                </m:rPr>
                <m:t>(</m:t>
              </m:r>
              <m:sSub>
                <m:e>
                  <m:r>
                    <m:t>r</m:t>
                  </m:r>
                </m:e>
                <m:sub>
                  <m:r>
                    <m:t>p</m:t>
                  </m:r>
                </m:sub>
              </m:sSub>
              <m:r>
                <m:rPr>
                  <m:sty m:val="p"/>
                </m:rPr>
                <m:t>)</m:t>
              </m:r>
              <m:r>
                <m:rPr>
                  <m:sty m:val="p"/>
                </m:rPr>
                <m:t>−</m:t>
              </m:r>
              <m:sSub>
                <m:e>
                  <m:r>
                    <m:t>r</m:t>
                  </m:r>
                </m:e>
                <m:sub>
                  <m:r>
                    <m:t>f</m:t>
                  </m:r>
                </m:sub>
              </m:sSub>
            </m:num>
            <m:den>
              <m:sSub>
                <m:e>
                  <m:r>
                    <m:t>σ</m:t>
                  </m:r>
                </m:e>
                <m:sub>
                  <m:r>
                    <m:t>p</m:t>
                  </m:r>
                </m:sub>
              </m:sSub>
            </m:den>
          </m:f>
          <m:r>
            <m:rPr>
              <m:sty m:val="p"/>
            </m:rPr>
            <m:t>.</m:t>
          </m:r>
        </m:oMath>
      </m:oMathPara>
    </w:p>
    <w:p>
      <w:pPr>
        <w:pStyle w:val="FirstParagraph"/>
      </w:pPr>
      <w:r>
        <w:t xml:space="preserve">The implementation fixes</w:t>
      </w:r>
      <w:r>
        <w:t xml:space="preserve"> </w:t>
      </w:r>
      <m:oMath>
        <m:sSub>
          <m:e>
            <m:r>
              <m:t>r</m:t>
            </m:r>
          </m:e>
          <m:sub>
            <m:r>
              <m:t>f</m:t>
            </m:r>
          </m:sub>
        </m:sSub>
        <m:r>
          <m:rPr>
            <m:sty m:val="p"/>
          </m:rPr>
          <m:t>=</m:t>
        </m:r>
        <m:r>
          <m:t>0.03</m:t>
        </m:r>
      </m:oMath>
      <w:r>
        <w:t xml:space="preserve"> </w:t>
      </w:r>
      <w:r>
        <w:t xml:space="preserve">annualized, intended as a representative USD short rate over the sample window. This value is centralized in a single configuration module (</w:t>
      </w:r>
      <w:r>
        <w:rPr>
          <w:rStyle w:val="VerbatimChar"/>
        </w:rPr>
        <w:t xml:space="preserve">backend/config.py</w:t>
      </w:r>
      <w:r>
        <w:t xml:space="preserve">) and imported by every component that consumes it — the optimizer, the portfolio statistics module, the API response builders, the reconciliation harness, and the frontend constants file. Centralization prevents the common silent-drift bug in which one subsystem is updated to a new rate while another retains the old value, producing Sharpe ratios that disagree across layers while appearing internally consistent within each. Sharpe ratios are useful for ranking frontier points and reporting but are not the optimization objective for the user’s utility-maximizing portfolio; the tangency portfolio, which does maximize Sharpe, is computed and reported separately (§2.6).</w:t>
      </w:r>
    </w:p>
    <w:bookmarkEnd w:id="17"/>
    <w:bookmarkStart w:id="18" w:name="X18ae68ce4e37e0213b340dfd127f147bcfd1f31"/>
    <w:p>
      <w:pPr>
        <w:pStyle w:val="Heading3"/>
      </w:pPr>
      <w:r>
        <w:t xml:space="preserve">2.6 Capital Market Line and the tangency portfolio</w:t>
      </w:r>
    </w:p>
    <w:p>
      <w:pPr>
        <w:pStyle w:val="FirstParagraph"/>
      </w:pPr>
      <w:r>
        <w:t xml:space="preserve">When a risk-free asset is available at rate</w:t>
      </w:r>
      <w:r>
        <w:t xml:space="preserve"> </w:t>
      </w:r>
      <m:oMath>
        <m:sSub>
          <m:e>
            <m:r>
              <m:t>r</m:t>
            </m:r>
          </m:e>
          <m:sub>
            <m:r>
              <m:t>f</m:t>
            </m:r>
          </m:sub>
        </m:sSub>
      </m:oMath>
      <w:r>
        <w:t xml:space="preserve">, the efficient set of risky portfolios combines with the risk-free asset along a half-line in mean–standard deviation space: the capital market line (CML). The CML’s slope equals the Sharpe ratio of the</w:t>
      </w:r>
      <w:r>
        <w:t xml:space="preserve"> </w:t>
      </w:r>
      <w:r>
        <w:rPr>
          <w:i/>
          <w:iCs/>
        </w:rPr>
        <w:t xml:space="preserve">tangency portfolio</w:t>
      </w:r>
      <w:r>
        <w:t xml:space="preserve"> </w:t>
      </w:r>
      <w:r>
        <w:t xml:space="preserve">— the risky portfolio that maximizes Sharpe ratio and at which the CML touches the risky efficient frontier (Sharpe, 1964; Merton, 1972). Under homogeneous-expectations assumptions, all investors with access to the risk-free asset optimally hold a combination of the tangency portfolio and cash, with the mixture determined by individual risk aversion. This separation of the portfolio decision from the risk-taking decision is the content of the two-fund separation theorem.</w:t>
      </w:r>
    </w:p>
    <w:p>
      <w:pPr>
        <w:pStyle w:val="BodyText"/>
      </w:pPr>
      <w:r>
        <w:t xml:space="preserve">The project computes the tangency portfolio explicitly rather than approximating it. The closed-form unconstrained solution,</w:t>
      </w:r>
    </w:p>
    <w:p>
      <w:pPr>
        <w:pStyle w:val="BodyText"/>
      </w:pPr>
      <m:oMathPara>
        <m:oMathParaPr>
          <m:jc m:val="center"/>
        </m:oMathParaPr>
        <m:oMath>
          <m:sSub>
            <m:e>
              <m:r>
                <m:rPr>
                  <m:sty m:val="bi"/>
                </m:rPr>
                <m:t>w</m:t>
              </m:r>
            </m:e>
            <m:sub>
              <m:r>
                <m:rPr>
                  <m:nor/>
                  <m:sty m:val="p"/>
                </m:rPr>
                <m:t>tan</m:t>
              </m:r>
            </m:sub>
          </m:sSub>
          <m:r>
            <m:rPr>
              <m:sty m:val="p"/>
            </m:rPr>
            <m:t>=</m:t>
          </m:r>
          <m:f>
            <m:fPr>
              <m:type m:val="bar"/>
            </m:fPr>
            <m:num>
              <m:sSup>
                <m:e>
                  <m:r>
                    <m:rPr>
                      <m:sty m:val="b"/>
                    </m:rPr>
                    <m:t>Σ</m:t>
                  </m:r>
                </m:e>
                <m:sup>
                  <m:r>
                    <m:rPr>
                      <m:sty m:val="p"/>
                    </m:rPr>
                    <m:t>−</m:t>
                  </m:r>
                  <m:r>
                    <m:t>1</m:t>
                  </m:r>
                </m:sup>
              </m:sSup>
              <m:r>
                <m:rPr>
                  <m:sty m:val="p"/>
                </m:rPr>
                <m:t>(</m:t>
              </m:r>
              <m:r>
                <m:rPr>
                  <m:sty m:val="bi"/>
                </m:rPr>
                <m:t>μ</m:t>
              </m:r>
              <m:r>
                <m:rPr>
                  <m:sty m:val="p"/>
                </m:rPr>
                <m:t>−</m:t>
              </m:r>
              <m:sSub>
                <m:e>
                  <m:r>
                    <m:t>r</m:t>
                  </m:r>
                </m:e>
                <m:sub>
                  <m:r>
                    <m:t>f</m:t>
                  </m:r>
                </m:sub>
              </m:sSub>
              <m:r>
                <m:rPr>
                  <m:sty m:val="b"/>
                </m:rPr>
                <m:t>1</m:t>
              </m:r>
              <m:r>
                <m:rPr>
                  <m:sty m:val="p"/>
                </m:rPr>
                <m:t>)</m:t>
              </m:r>
            </m:num>
            <m:den>
              <m:sSup>
                <m:e>
                  <m:r>
                    <m:rPr>
                      <m:sty m:val="b"/>
                    </m:rPr>
                    <m:t>1</m:t>
                  </m:r>
                </m:e>
                <m:sup>
                  <m:r>
                    <m:rPr>
                      <m:sty m:val="p"/>
                    </m:rPr>
                    <m:t>T</m:t>
                  </m:r>
                </m:sup>
              </m:sSup>
              <m:sSup>
                <m:e>
                  <m:r>
                    <m:rPr>
                      <m:sty m:val="b"/>
                    </m:rPr>
                    <m:t>Σ</m:t>
                  </m:r>
                </m:e>
                <m:sup>
                  <m:r>
                    <m:rPr>
                      <m:sty m:val="p"/>
                    </m:rPr>
                    <m:t>−</m:t>
                  </m:r>
                  <m:r>
                    <m:t>1</m:t>
                  </m:r>
                </m:sup>
              </m:sSup>
              <m:r>
                <m:rPr>
                  <m:sty m:val="p"/>
                </m:rPr>
                <m:t>(</m:t>
              </m:r>
              <m:r>
                <m:rPr>
                  <m:sty m:val="bi"/>
                </m:rPr>
                <m:t>μ</m:t>
              </m:r>
              <m:r>
                <m:rPr>
                  <m:sty m:val="p"/>
                </m:rPr>
                <m:t>−</m:t>
              </m:r>
              <m:sSub>
                <m:e>
                  <m:r>
                    <m:t>r</m:t>
                  </m:r>
                </m:e>
                <m:sub>
                  <m:r>
                    <m:t>f</m:t>
                  </m:r>
                </m:sub>
              </m:sSub>
              <m:r>
                <m:rPr>
                  <m:sty m:val="b"/>
                </m:rPr>
                <m:t>1</m:t>
              </m:r>
              <m:r>
                <m:rPr>
                  <m:sty m:val="p"/>
                </m:rPr>
                <m:t>)</m:t>
              </m:r>
            </m:den>
          </m:f>
          <m:r>
            <m:rPr>
              <m:sty m:val="p"/>
            </m:rPr>
            <m:t>,</m:t>
          </m:r>
        </m:oMath>
      </m:oMathPara>
    </w:p>
    <w:p>
      <w:pPr>
        <w:pStyle w:val="FirstParagraph"/>
      </w:pPr>
      <w:r>
        <w:t xml:space="preserve">is well known but is numerically fragile in practice. On the implemented universe, the closed form produces a portfolio with gross leverage exceeding 15× and a negative Sharpe ratio, the classical degenerate tangency on the inefficient branch of the hyperbola (Michaud, 1989). The degeneracy is traceable to two features of empirical data: near-collinearity among equity ETFs, which produces a poorly conditioned</w:t>
      </w:r>
      <w:r>
        <w:t xml:space="preserve"> </w:t>
      </w:r>
      <m:oMath>
        <m:r>
          <m:rPr>
            <m:sty m:val="b"/>
          </m:rPr>
          <m:t>Σ</m:t>
        </m:r>
      </m:oMath>
      <w:r>
        <w:t xml:space="preserve"> </w:t>
      </w:r>
      <w:r>
        <w:t xml:space="preserve">that amplifies small estimation errors through the inversion; and the presence of at least one asset (the international bond ETF, BNDX) whose sample mean falls below the risk-free rate, causing</w:t>
      </w:r>
      <w:r>
        <w:t xml:space="preserve"> </w:t>
      </w:r>
      <m:oMath>
        <m:r>
          <m:rPr>
            <m:sty m:val="bi"/>
          </m:rPr>
          <m:t>μ</m:t>
        </m:r>
        <m:r>
          <m:rPr>
            <m:sty m:val="p"/>
          </m:rPr>
          <m:t>−</m:t>
        </m:r>
        <m:sSub>
          <m:e>
            <m:r>
              <m:t>r</m:t>
            </m:r>
          </m:e>
          <m:sub>
            <m:r>
              <m:t>f</m:t>
            </m:r>
          </m:sub>
        </m:sSub>
        <m:r>
          <m:rPr>
            <m:sty m:val="b"/>
          </m:rPr>
          <m:t>1</m:t>
        </m:r>
      </m:oMath>
      <w:r>
        <w:t xml:space="preserve"> </w:t>
      </w:r>
      <w:r>
        <w:t xml:space="preserve">to contain sign-mixed entries that the inverted covariance matrix combines in unstable ways. Michaud (1989) termed the resulting amplification</w:t>
      </w:r>
      <w:r>
        <w:t xml:space="preserve"> </w:t>
      </w:r>
      <w:r>
        <w:t xml:space="preserve">“error maximization,”</w:t>
      </w:r>
      <w:r>
        <w:t xml:space="preserve"> </w:t>
      </w:r>
      <w:r>
        <w:t xml:space="preserve">and it is the canonical failure mode of unconstrained mean–variance optimization on real data.</w:t>
      </w:r>
    </w:p>
    <w:p>
      <w:pPr>
        <w:pStyle w:val="BodyText"/>
      </w:pPr>
      <w:r>
        <w:t xml:space="preserve">The implementation therefore computes the tangency portfolio via sequential least-squares quadratic programming (SLSQP), using the same bounded long-only feasible set that defines the risky efficient frontier. A stable two-path pattern is used. The</w:t>
      </w:r>
      <w:r>
        <w:t xml:space="preserve"> </w:t>
      </w:r>
      <w:r>
        <w:rPr>
          <w:i/>
          <w:iCs/>
        </w:rPr>
        <w:t xml:space="preserve">primary path</w:t>
      </w:r>
      <w:r>
        <w:t xml:space="preserve"> </w:t>
      </w:r>
      <w:r>
        <w:t xml:space="preserve">solves the scaled minimum-variance problem</w:t>
      </w:r>
      <w:r>
        <w:t xml:space="preserve"> </w:t>
      </w:r>
      <m:oMath>
        <m:r>
          <m:rPr>
            <m:sty m:val="p"/>
          </m:rPr>
          <m:t>min</m:t>
        </m:r>
        <m:sSup>
          <m:e>
            <m:r>
              <m:rPr>
                <m:sty m:val="bi"/>
              </m:rPr>
              <m:t>w</m:t>
            </m:r>
          </m:e>
          <m:sup>
            <m:r>
              <m:rPr>
                <m:sty m:val="p"/>
              </m:rPr>
              <m:t>T</m:t>
            </m:r>
          </m:sup>
        </m:sSup>
        <m:r>
          <m:rPr>
            <m:sty m:val="b"/>
          </m:rPr>
          <m:t>Σ</m:t>
        </m:r>
        <m:r>
          <m:rPr>
            <m:sty m:val="bi"/>
          </m:rPr>
          <m:t>w</m:t>
        </m:r>
      </m:oMath>
      <w:r>
        <w:t xml:space="preserve"> </w:t>
      </w:r>
      <w:r>
        <w:t xml:space="preserve">subject to</w:t>
      </w:r>
      <w:r>
        <w:t xml:space="preserve"> </w:t>
      </w:r>
      <m:oMath>
        <m:r>
          <m:rPr>
            <m:sty m:val="p"/>
          </m:rPr>
          <m:t>(</m:t>
        </m:r>
        <m:r>
          <m:rPr>
            <m:sty m:val="bi"/>
          </m:rPr>
          <m:t>μ</m:t>
        </m:r>
        <m:r>
          <m:rPr>
            <m:sty m:val="p"/>
          </m:rPr>
          <m:t>−</m:t>
        </m:r>
        <m:sSub>
          <m:e>
            <m:r>
              <m:t>r</m:t>
            </m:r>
          </m:e>
          <m:sub>
            <m:r>
              <m:t>f</m:t>
            </m:r>
          </m:sub>
        </m:sSub>
        <m:r>
          <m:rPr>
            <m:sty m:val="b"/>
          </m:rPr>
          <m:t>1</m:t>
        </m:r>
        <m:sSup>
          <m:e>
            <m:r>
              <m:rPr>
                <m:sty m:val="p"/>
              </m:rPr>
              <m:t>)</m:t>
            </m:r>
          </m:e>
          <m:sup>
            <m:r>
              <m:rPr>
                <m:sty m:val="p"/>
              </m:rPr>
              <m:t>T</m:t>
            </m:r>
          </m:sup>
        </m:sSup>
        <m:r>
          <m:rPr>
            <m:sty m:val="bi"/>
          </m:rPr>
          <m:t>w</m:t>
        </m:r>
        <m:r>
          <m:rPr>
            <m:sty m:val="p"/>
          </m:rPr>
          <m:t>=</m:t>
        </m:r>
        <m:r>
          <m:t>1</m:t>
        </m:r>
      </m:oMath>
      <w:r>
        <w:t xml:space="preserve">, exploiting the scale invariance of the Sharpe ratio: any positive multiple of a solution shares the same Sharpe, and renormalizing to</w:t>
      </w:r>
      <w:r>
        <w:t xml:space="preserve"> </w:t>
      </w:r>
      <m:oMath>
        <m:r>
          <m:rPr>
            <m:sty m:val="p"/>
          </m:rPr>
          <m:t>∑</m:t>
        </m:r>
        <m:r>
          <m:t>w</m:t>
        </m:r>
        <m:r>
          <m:rPr>
            <m:sty m:val="p"/>
          </m:rPr>
          <m:t>=</m:t>
        </m:r>
        <m:r>
          <m:t>1</m:t>
        </m:r>
      </m:oMath>
      <w:r>
        <w:t xml:space="preserve"> </w:t>
      </w:r>
      <w:r>
        <w:t xml:space="preserve">after solving recovers the tangency. This formulation is provably optimal when the bounds are scale-invariant — that is, when the feasible set is a cone, as in the pure long-only case</w:t>
      </w:r>
      <w:r>
        <w:t xml:space="preserve"> </w:t>
      </w:r>
      <m:oMath>
        <m:sSub>
          <m:e>
            <m:r>
              <m:t>w</m:t>
            </m:r>
          </m:e>
          <m:sub>
            <m:r>
              <m:t>i</m:t>
            </m:r>
          </m:sub>
        </m:sSub>
        <m:r>
          <m:rPr>
            <m:sty m:val="p"/>
          </m:rPr>
          <m:t>≥</m:t>
        </m:r>
        <m:r>
          <m:t>0</m:t>
        </m:r>
      </m:oMath>
      <w:r>
        <w:t xml:space="preserve">. The</w:t>
      </w:r>
      <w:r>
        <w:t xml:space="preserve"> </w:t>
      </w:r>
      <w:r>
        <w:rPr>
          <w:i/>
          <w:iCs/>
        </w:rPr>
        <w:t xml:space="preserve">fallback path</w:t>
      </w:r>
      <w:r>
        <w:t xml:space="preserve"> </w:t>
      </w:r>
      <w:r>
        <w:t xml:space="preserve">maximizes Sharpe directly by minimizing</w:t>
      </w:r>
      <w:r>
        <w:t xml:space="preserve"> </w:t>
      </w:r>
      <m:oMath>
        <m:r>
          <m:rPr>
            <m:sty m:val="p"/>
          </m:rPr>
          <m:t>−</m:t>
        </m:r>
        <m:r>
          <m:rPr>
            <m:sty m:val="p"/>
          </m:rPr>
          <m:t>(</m:t>
        </m:r>
        <m:r>
          <m:rPr>
            <m:sty m:val="bi"/>
          </m:rPr>
          <m:t>μ</m:t>
        </m:r>
        <m:r>
          <m:rPr>
            <m:sty m:val="p"/>
          </m:rPr>
          <m:t>−</m:t>
        </m:r>
        <m:sSub>
          <m:e>
            <m:r>
              <m:t>r</m:t>
            </m:r>
          </m:e>
          <m:sub>
            <m:r>
              <m:t>f</m:t>
            </m:r>
          </m:sub>
        </m:sSub>
        <m:r>
          <m:rPr>
            <m:sty m:val="b"/>
          </m:rPr>
          <m:t>1</m:t>
        </m:r>
        <m:sSup>
          <m:e>
            <m:r>
              <m:rPr>
                <m:sty m:val="p"/>
              </m:rPr>
              <m:t>)</m:t>
            </m:r>
          </m:e>
          <m:sup>
            <m:r>
              <m:rPr>
                <m:sty m:val="p"/>
              </m:rPr>
              <m:t>T</m:t>
            </m:r>
          </m:sup>
        </m:sSup>
        <m:r>
          <m:rPr>
            <m:sty m:val="bi"/>
          </m:rPr>
          <m:t>w</m:t>
        </m:r>
        <m:r>
          <m:rPr>
            <m:sty m:val="p"/>
          </m:rPr>
          <m:t>/</m:t>
        </m:r>
        <m:rad>
          <m:radPr>
            <m:degHide m:val="on"/>
          </m:radPr>
          <m:deg/>
          <m:e>
            <m:sSup>
              <m:e>
                <m:r>
                  <m:rPr>
                    <m:sty m:val="bi"/>
                  </m:rPr>
                  <m:t>w</m:t>
                </m:r>
              </m:e>
              <m:sup>
                <m:r>
                  <m:rPr>
                    <m:sty m:val="p"/>
                  </m:rPr>
                  <m:t>T</m:t>
                </m:r>
              </m:sup>
            </m:sSup>
            <m:r>
              <m:rPr>
                <m:sty m:val="b"/>
              </m:rPr>
              <m:t>Σ</m:t>
            </m:r>
            <m:r>
              <m:rPr>
                <m:sty m:val="bi"/>
              </m:rPr>
              <m:t>w</m:t>
            </m:r>
          </m:e>
        </m:rad>
      </m:oMath>
      <w:r>
        <w:t xml:space="preserve"> </w:t>
      </w:r>
      <w:r>
        <w:t xml:space="preserve">subject to the full constraint set, with a warm start from the primary path’s solution. Both paths are always executed, and the higher-Sharpe result is returned. This belt-and-suspenders design is not wasted work: bounded box constraints such as per-asset caps</w:t>
      </w:r>
      <w:r>
        <w:t xml:space="preserve"> </w:t>
      </w:r>
      <m:oMath>
        <m:sSub>
          <m:e>
            <m:r>
              <m:t>w</m:t>
            </m:r>
          </m:e>
          <m:sub>
            <m:r>
              <m:t>i</m:t>
            </m:r>
          </m:sub>
        </m:sSub>
        <m:r>
          <m:rPr>
            <m:sty m:val="p"/>
          </m:rPr>
          <m:t>≤</m:t>
        </m:r>
        <m:r>
          <m:t>0.4</m:t>
        </m:r>
      </m:oMath>
      <w:r>
        <w:t xml:space="preserve"> </w:t>
      </w:r>
      <w:r>
        <w:t xml:space="preserve">break the scale invariance of the primary path, and in such regimes the primary can return a feasible but non-optimal point that the fallback then corrects. Empirically on the implemented dataset, the fallback path dominates the primary in every regime tested, which is itself a reportable finding — the provenance of each tangency computation is carried through to the reconciliation report via an explicit</w:t>
      </w:r>
      <w:r>
        <w:t xml:space="preserve"> </w:t>
      </w:r>
      <w:r>
        <w:rPr>
          <w:rStyle w:val="VerbatimChar"/>
        </w:rPr>
        <w:t xml:space="preserve">solver_path</w:t>
      </w:r>
      <w:r>
        <w:t xml:space="preserve"> </w:t>
      </w:r>
      <w:r>
        <w:t xml:space="preserve">field.</w:t>
      </w:r>
    </w:p>
    <w:p>
      <w:pPr>
        <w:pStyle w:val="BodyText"/>
      </w:pPr>
      <w:r>
        <w:t xml:space="preserve">An orthogonal optimization is that the primary path’s feasibility is checked analytically before SLSQP is invoked. The primary problem requires</w:t>
      </w:r>
      <w:r>
        <w:t xml:space="preserve"> </w:t>
      </w:r>
      <m:oMath>
        <m:sSub>
          <m:e>
            <m:r>
              <m:rPr>
                <m:sty m:val="p"/>
              </m:rPr>
              <m:t>max</m:t>
            </m:r>
          </m:e>
          <m:sub>
            <m:r>
              <m:rPr>
                <m:sty m:val="bi"/>
              </m:rPr>
              <m:t>w</m:t>
            </m:r>
            <m:r>
              <m:rPr>
                <m:sty m:val="p"/>
              </m:rPr>
              <m:t>∈</m:t>
            </m:r>
            <m:r>
              <m:rPr>
                <m:nor/>
                <m:sty m:val="p"/>
              </m:rPr>
              <m:t>box</m:t>
            </m:r>
          </m:sub>
        </m:sSub>
        <m:r>
          <m:rPr>
            <m:sty m:val="p"/>
          </m:rPr>
          <m:t>(</m:t>
        </m:r>
        <m:r>
          <m:rPr>
            <m:sty m:val="bi"/>
          </m:rPr>
          <m:t>μ</m:t>
        </m:r>
        <m:r>
          <m:rPr>
            <m:sty m:val="p"/>
          </m:rPr>
          <m:t>−</m:t>
        </m:r>
        <m:sSub>
          <m:e>
            <m:r>
              <m:t>r</m:t>
            </m:r>
          </m:e>
          <m:sub>
            <m:r>
              <m:t>f</m:t>
            </m:r>
          </m:sub>
        </m:sSub>
        <m:r>
          <m:rPr>
            <m:sty m:val="b"/>
          </m:rPr>
          <m:t>1</m:t>
        </m:r>
        <m:sSup>
          <m:e>
            <m:r>
              <m:rPr>
                <m:sty m:val="p"/>
              </m:rPr>
              <m:t>)</m:t>
            </m:r>
          </m:e>
          <m:sup>
            <m:r>
              <m:rPr>
                <m:sty m:val="p"/>
              </m:rPr>
              <m:t>T</m:t>
            </m:r>
          </m:sup>
        </m:sSup>
        <m:r>
          <m:rPr>
            <m:sty m:val="bi"/>
          </m:rPr>
          <m:t>w</m:t>
        </m:r>
        <m:r>
          <m:rPr>
            <m:sty m:val="p"/>
          </m:rPr>
          <m:t>≥</m:t>
        </m:r>
        <m:r>
          <m:t>1</m:t>
        </m:r>
      </m:oMath>
      <w:r>
        <w:t xml:space="preserve">; this maximum is separable over assets and computable in closed form by assigning each</w:t>
      </w:r>
      <w:r>
        <w:t xml:space="preserve"> </w:t>
      </w:r>
      <m:oMath>
        <m:sSub>
          <m:e>
            <m:r>
              <m:t>w</m:t>
            </m:r>
          </m:e>
          <m:sub>
            <m:r>
              <m:t>i</m:t>
            </m:r>
          </m:sub>
        </m:sSub>
      </m:oMath>
      <w:r>
        <w:t xml:space="preserve"> </w:t>
      </w:r>
      <w:r>
        <w:t xml:space="preserve">to its sign-favoring bound. When the box constraints are tight enough that the maximum cannot reach unity — for instance, long-only with per-asset cap 0.4 on this dataset yields a maximum of 0.245 — the primary is infeasible and SLSQP would otherwise run to its iteration limit before reporting failure. The analytical check short-circuits this, reducing typical tangency computation time by roughly two orders of magnitude in the affected regime.</w:t>
      </w:r>
    </w:p>
    <w:p>
      <w:pPr>
        <w:pStyle w:val="BodyText"/>
      </w:pPr>
      <w:r>
        <w:t xml:space="preserve">The user-facing CML visualization is therefore anchored on a properly optimized tangency portfolio, not on the approximation of</w:t>
      </w:r>
      <w:r>
        <w:t xml:space="preserve"> </w:t>
      </w:r>
      <w:r>
        <w:t xml:space="preserve">“the frontier-sample point with the highest Sharpe ratio”</w:t>
      </w:r>
      <w:r>
        <w:t xml:space="preserve"> </w:t>
      </w:r>
      <w:r>
        <w:t xml:space="preserve">that an earlier prototype used. This distinction matters pedagogically: students and graders inspecting the chart are seeing the actual CML-tangency geometry, not a coincidental proximity between the CML and a sampled frontier point.</w:t>
      </w:r>
    </w:p>
    <w:bookmarkEnd w:id="18"/>
    <w:bookmarkStart w:id="19" w:name="alternatives-to-slsqp"/>
    <w:p>
      <w:pPr>
        <w:pStyle w:val="Heading3"/>
      </w:pPr>
      <w:r>
        <w:t xml:space="preserve">2.7 Alternatives to SLSQP</w:t>
      </w:r>
    </w:p>
    <w:p>
      <w:pPr>
        <w:pStyle w:val="FirstParagraph"/>
      </w:pPr>
      <w:r>
        <w:t xml:space="preserve">Many commercial optimizers use interior-point or augmented-Lagrangian methods for convex quadratic programs. SciPy’s SLSQP handles smooth objectives with nonlinear constraints; for pure quadratic programs with linear constraints, dedicated QP solvers such as OSQP (Stellato, Banjac, Goulart, Bemporad, &amp; Boyd, 2020) or CVXOPT can be faster and more numerically stable. The project standardizes on SLSQP for two reasons: first, classroom reproducibility benefits from a single solver across the utility maximization, the frontier sweep, and the tangency computation; second, the scale of a ten-asset problem is trivial for any competent solver, and the ~900 millisecond end-to-end latency of a full</w:t>
      </w:r>
      <w:r>
        <w:t xml:space="preserve"> </w:t>
      </w:r>
      <w:r>
        <w:rPr>
          <w:rStyle w:val="VerbatimChar"/>
        </w:rPr>
        <w:t xml:space="preserve">/optimize</w:t>
      </w:r>
      <w:r>
        <w:t xml:space="preserve"> </w:t>
      </w:r>
      <w:r>
        <w:t xml:space="preserve">response (which computes six distinct portfolios plus a 100-point frontier in each of two regimes) is dominated by the frontier sweeps rather than by any single solve. If this project were extended to hundreds of assets, the tangency and optimal-portfolio computations would remain fast but the frontier sweeps would benefit from a dedicated QP solver with warm-starting across adjacent target-return subproblems.</w:t>
      </w:r>
    </w:p>
    <w:p>
      <w:pPr>
        <w:pStyle w:val="BodyText"/>
      </w:pPr>
      <w:r>
        <w:t xml:space="preserve">Practical guidance when SLSQP convergence is unsatisfactory: first check scaling, since objective and constraint values that differ by several orders of magnitude induce ill-conditioning; then vary the initial guess, ideally warm-starting from a nearby solved problem; and finally consider QP reformulation. The present implementation uses warm starts where they are available (the tangency fallback warm-starts from the primary path; the frontier sweep could warm-start each target-return solve from its neighbor, though currently does not), and it uses analytical feasibility short-circuits (§2.6) to avoid invoking SLSQP on problems whose infeasibility is detectable without iteration.</w:t>
      </w:r>
    </w:p>
    <w:bookmarkEnd w:id="19"/>
    <w:bookmarkStart w:id="20" w:name="interpretation-of-a-in-utility-theory"/>
    <w:p>
      <w:pPr>
        <w:pStyle w:val="Heading3"/>
      </w:pPr>
      <w:r>
        <w:t xml:space="preserve">2.8 Interpretation of</w:t>
      </w:r>
      <w:r>
        <w:t xml:space="preserve"> </w:t>
      </w:r>
      <m:oMath>
        <m:r>
          <m:t>A</m:t>
        </m:r>
      </m:oMath>
      <w:r>
        <w:t xml:space="preserve"> </w:t>
      </w:r>
      <w:r>
        <w:t xml:space="preserve">in utility theory</w:t>
      </w:r>
    </w:p>
    <w:p>
      <w:pPr>
        <w:pStyle w:val="FirstParagraph"/>
      </w:pPr>
      <w:r>
        <w:t xml:space="preserve">In expected utility theory with constant absolute risk aversion for normally distributed wealth changes, exponential utility implies mean–variance preferences. The coefficient</w:t>
      </w:r>
      <w:r>
        <w:t xml:space="preserve"> </w:t>
      </w:r>
      <m:oMath>
        <m:r>
          <m:t>A</m:t>
        </m:r>
      </m:oMath>
      <w:r>
        <w:t xml:space="preserve"> </w:t>
      </w:r>
      <w:r>
        <w:t xml:space="preserve">links directly to risk aversion curvature. While this mapping is imperfect—returns are not truly Gaussian and investors care about skewness and tail risk—the mean–variance framework remains the standard baseline for robo-adviser prototypes. Disclosure of assumptions is part of responsible presentation.</w:t>
      </w:r>
    </w:p>
    <w:p>
      <w:r>
        <w:pict>
          <v:rect style="width:0;height:1.5pt" o:hralign="center" o:hrstd="t" o:hr="t"/>
        </w:pict>
      </w:r>
    </w:p>
    <w:bookmarkEnd w:id="20"/>
    <w:bookmarkEnd w:id="21"/>
    <w:bookmarkStart w:id="29" w:name="data-and-descriptive-statistics"/>
    <w:p>
      <w:pPr>
        <w:pStyle w:val="Heading2"/>
      </w:pPr>
      <w:r>
        <w:t xml:space="preserve">3. Data and Descriptive Statistics</w:t>
      </w:r>
    </w:p>
    <w:bookmarkStart w:id="22" w:name="universe-design-and-economic-rationale"/>
    <w:p>
      <w:pPr>
        <w:pStyle w:val="Heading3"/>
      </w:pPr>
      <w:r>
        <w:t xml:space="preserve">3.1 Universe design and economic rationale</w:t>
      </w:r>
    </w:p>
    <w:p>
      <w:pPr>
        <w:pStyle w:val="FirstParagraph"/>
      </w:pPr>
      <w:r>
        <w:t xml:space="preserve">The fund universe must diversify across economic drivers: equity beta, regional tilts, duration and credit exposure, multi-asset stabilization, real estate, and alternatives such as commodities where included. The implemented dataset (see processed metadata in the repository) uses ten tickers with monthly NAV histories aligned from</w:t>
      </w:r>
      <w:r>
        <w:t xml:space="preserve"> </w:t>
      </w:r>
      <w:r>
        <w:rPr>
          <w:b/>
          <w:bCs/>
        </w:rPr>
        <w:t xml:space="preserve">2013-06-01</w:t>
      </w:r>
      <w:r>
        <w:t xml:space="preserve"> </w:t>
      </w:r>
      <w:r>
        <w:t xml:space="preserve">through</w:t>
      </w:r>
      <w:r>
        <w:t xml:space="preserve"> </w:t>
      </w:r>
      <w:r>
        <w:rPr>
          <w:b/>
          <w:bCs/>
        </w:rPr>
        <w:t xml:space="preserve">2026-04-01</w:t>
      </w:r>
      <w:r>
        <w:t xml:space="preserve"> </w:t>
      </w:r>
      <w:r>
        <w:t xml:space="preserve">(twelve years), exceeding the PRD’s minimum horizon intent. Table 1 summarizes names, codes, and asset classes.</w:t>
      </w:r>
    </w:p>
    <w:p>
      <w:pPr>
        <w:pStyle w:val="BodyText"/>
      </w:pPr>
      <w:r>
        <w:rPr>
          <w:b/>
          <w:bCs/>
        </w:rPr>
        <w:t xml:space="preserve">Table 1. Fund universe (illustrative implementation).</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Fund code</w:t>
            </w:r>
          </w:p>
        </w:tc>
        <w:tc>
          <w:tcPr/>
          <w:p>
            <w:pPr>
              <w:pStyle w:val="Compact"/>
            </w:pPr>
            <w:r>
              <w:t xml:space="preserve">Fund name</w:t>
            </w:r>
          </w:p>
        </w:tc>
        <w:tc>
          <w:tcPr/>
          <w:p>
            <w:pPr>
              <w:pStyle w:val="Compact"/>
            </w:pPr>
            <w:r>
              <w:t xml:space="preserve">Asset class</w:t>
            </w:r>
          </w:p>
        </w:tc>
      </w:tr>
      <w:tr>
        <w:tc>
          <w:tcPr/>
          <w:p>
            <w:pPr>
              <w:pStyle w:val="Compact"/>
            </w:pPr>
            <w:r>
              <w:t xml:space="preserve">URTH</w:t>
            </w:r>
          </w:p>
        </w:tc>
        <w:tc>
          <w:tcPr/>
          <w:p>
            <w:pPr>
              <w:pStyle w:val="Compact"/>
            </w:pPr>
            <w:r>
              <w:t xml:space="preserve">iShares MSCI World ETF</w:t>
            </w:r>
          </w:p>
        </w:tc>
        <w:tc>
          <w:tcPr/>
          <w:p>
            <w:pPr>
              <w:pStyle w:val="Compact"/>
            </w:pPr>
            <w:r>
              <w:t xml:space="preserve">Equity-Global</w:t>
            </w:r>
          </w:p>
        </w:tc>
      </w:tr>
      <w:tr>
        <w:tc>
          <w:tcPr/>
          <w:p>
            <w:pPr>
              <w:pStyle w:val="Compact"/>
            </w:pPr>
            <w:r>
              <w:t xml:space="preserve">AOA</w:t>
            </w:r>
          </w:p>
        </w:tc>
        <w:tc>
          <w:tcPr/>
          <w:p>
            <w:pPr>
              <w:pStyle w:val="Compact"/>
            </w:pPr>
            <w:r>
              <w:t xml:space="preserve">iShares Core Aggressive Allocation ETF</w:t>
            </w:r>
          </w:p>
        </w:tc>
        <w:tc>
          <w:tcPr/>
          <w:p>
            <w:pPr>
              <w:pStyle w:val="Compact"/>
            </w:pPr>
            <w:r>
              <w:t xml:space="preserve">Multi-Asset</w:t>
            </w:r>
          </w:p>
        </w:tc>
      </w:tr>
      <w:tr>
        <w:tc>
          <w:tcPr/>
          <w:p>
            <w:pPr>
              <w:pStyle w:val="Compact"/>
            </w:pPr>
            <w:r>
              <w:t xml:space="preserve">XLV</w:t>
            </w:r>
          </w:p>
        </w:tc>
        <w:tc>
          <w:tcPr/>
          <w:p>
            <w:pPr>
              <w:pStyle w:val="Compact"/>
            </w:pPr>
            <w:r>
              <w:t xml:space="preserve">Health Care Select Sector SPDR Fund</w:t>
            </w:r>
          </w:p>
        </w:tc>
        <w:tc>
          <w:tcPr/>
          <w:p>
            <w:pPr>
              <w:pStyle w:val="Compact"/>
            </w:pPr>
            <w:r>
              <w:t xml:space="preserve">Equity-Regional</w:t>
            </w:r>
          </w:p>
        </w:tc>
      </w:tr>
      <w:tr>
        <w:tc>
          <w:tcPr/>
          <w:p>
            <w:pPr>
              <w:pStyle w:val="Compact"/>
            </w:pPr>
            <w:r>
              <w:t xml:space="preserve">SPY</w:t>
            </w:r>
          </w:p>
        </w:tc>
        <w:tc>
          <w:tcPr/>
          <w:p>
            <w:pPr>
              <w:pStyle w:val="Compact"/>
            </w:pPr>
            <w:r>
              <w:t xml:space="preserve">SPDR S&amp;P 500 ETF Trust</w:t>
            </w:r>
          </w:p>
        </w:tc>
        <w:tc>
          <w:tcPr/>
          <w:p>
            <w:pPr>
              <w:pStyle w:val="Compact"/>
            </w:pPr>
            <w:r>
              <w:t xml:space="preserve">Equity-Global</w:t>
            </w:r>
          </w:p>
        </w:tc>
      </w:tr>
      <w:tr>
        <w:tc>
          <w:tcPr/>
          <w:p>
            <w:pPr>
              <w:pStyle w:val="Compact"/>
            </w:pPr>
            <w:r>
              <w:t xml:space="preserve">VNQ</w:t>
            </w:r>
          </w:p>
        </w:tc>
        <w:tc>
          <w:tcPr/>
          <w:p>
            <w:pPr>
              <w:pStyle w:val="Compact"/>
            </w:pPr>
            <w:r>
              <w:t xml:space="preserve">Vanguard Real Estate ETF</w:t>
            </w:r>
          </w:p>
        </w:tc>
        <w:tc>
          <w:tcPr/>
          <w:p>
            <w:pPr>
              <w:pStyle w:val="Compact"/>
            </w:pPr>
            <w:r>
              <w:t xml:space="preserve">REIT</w:t>
            </w:r>
          </w:p>
        </w:tc>
      </w:tr>
      <w:tr>
        <w:tc>
          <w:tcPr/>
          <w:p>
            <w:pPr>
              <w:pStyle w:val="Compact"/>
            </w:pPr>
            <w:r>
              <w:t xml:space="preserve">QQQ</w:t>
            </w:r>
          </w:p>
        </w:tc>
        <w:tc>
          <w:tcPr/>
          <w:p>
            <w:pPr>
              <w:pStyle w:val="Compact"/>
            </w:pPr>
            <w:r>
              <w:t xml:space="preserve">Invesco QQQ Trust</w:t>
            </w:r>
          </w:p>
        </w:tc>
        <w:tc>
          <w:tcPr/>
          <w:p>
            <w:pPr>
              <w:pStyle w:val="Compact"/>
            </w:pPr>
            <w:r>
              <w:t xml:space="preserve">Equity-Regional</w:t>
            </w:r>
          </w:p>
        </w:tc>
      </w:tr>
      <w:tr>
        <w:tc>
          <w:tcPr/>
          <w:p>
            <w:pPr>
              <w:pStyle w:val="Compact"/>
            </w:pPr>
            <w:r>
              <w:t xml:space="preserve">EMB</w:t>
            </w:r>
          </w:p>
        </w:tc>
        <w:tc>
          <w:tcPr/>
          <w:p>
            <w:pPr>
              <w:pStyle w:val="Compact"/>
            </w:pPr>
            <w:r>
              <w:t xml:space="preserve">iShares J.P. Morgan USD Emerging Markets Bond ETF</w:t>
            </w:r>
          </w:p>
        </w:tc>
        <w:tc>
          <w:tcPr/>
          <w:p>
            <w:pPr>
              <w:pStyle w:val="Compact"/>
            </w:pPr>
            <w:r>
              <w:t xml:space="preserve">Fixed-Income</w:t>
            </w:r>
          </w:p>
        </w:tc>
      </w:tr>
      <w:tr>
        <w:tc>
          <w:tcPr/>
          <w:p>
            <w:pPr>
              <w:pStyle w:val="Compact"/>
            </w:pPr>
            <w:r>
              <w:t xml:space="preserve">BNDX</w:t>
            </w:r>
          </w:p>
        </w:tc>
        <w:tc>
          <w:tcPr/>
          <w:p>
            <w:pPr>
              <w:pStyle w:val="Compact"/>
            </w:pPr>
            <w:r>
              <w:t xml:space="preserve">Vanguard Total International Bond ETF</w:t>
            </w:r>
          </w:p>
        </w:tc>
        <w:tc>
          <w:tcPr/>
          <w:p>
            <w:pPr>
              <w:pStyle w:val="Compact"/>
            </w:pPr>
            <w:r>
              <w:t xml:space="preserve">Fixed-Income</w:t>
            </w:r>
          </w:p>
        </w:tc>
      </w:tr>
      <w:tr>
        <w:tc>
          <w:tcPr/>
          <w:p>
            <w:pPr>
              <w:pStyle w:val="Compact"/>
            </w:pPr>
            <w:r>
              <w:t xml:space="preserve">AAXJ</w:t>
            </w:r>
          </w:p>
        </w:tc>
        <w:tc>
          <w:tcPr/>
          <w:p>
            <w:pPr>
              <w:pStyle w:val="Compact"/>
            </w:pPr>
            <w:r>
              <w:t xml:space="preserve">iShares MSCI All Country Asia ex Japan ETF</w:t>
            </w:r>
          </w:p>
        </w:tc>
        <w:tc>
          <w:tcPr/>
          <w:p>
            <w:pPr>
              <w:pStyle w:val="Compact"/>
            </w:pPr>
            <w:r>
              <w:t xml:space="preserve">Equity-Regional</w:t>
            </w:r>
          </w:p>
        </w:tc>
      </w:tr>
      <w:tr>
        <w:tc>
          <w:tcPr/>
          <w:p>
            <w:pPr>
              <w:pStyle w:val="Compact"/>
            </w:pPr>
            <w:r>
              <w:t xml:space="preserve">VT</w:t>
            </w:r>
          </w:p>
        </w:tc>
        <w:tc>
          <w:tcPr/>
          <w:p>
            <w:pPr>
              <w:pStyle w:val="Compact"/>
            </w:pPr>
            <w:r>
              <w:t xml:space="preserve">Vanguard Total World Stock ETF</w:t>
            </w:r>
          </w:p>
        </w:tc>
        <w:tc>
          <w:tcPr/>
          <w:p>
            <w:pPr>
              <w:pStyle w:val="Compact"/>
            </w:pPr>
            <w:r>
              <w:t xml:space="preserve">Equity-Global</w:t>
            </w:r>
          </w:p>
        </w:tc>
      </w:tr>
    </w:tbl>
    <w:p>
      <w:pPr>
        <w:pStyle w:val="BodyText"/>
      </w:pPr>
      <w:r>
        <w:t xml:space="preserve">Currency is USD for all names in the current manifest, simplifying return alignment without FX overlays.</w:t>
      </w:r>
    </w:p>
    <w:bookmarkEnd w:id="22"/>
    <w:bookmarkStart w:id="23" w:name="return-construction-and-annualization"/>
    <w:p>
      <w:pPr>
        <w:pStyle w:val="Heading3"/>
      </w:pPr>
      <w:r>
        <w:t xml:space="preserve">3.2 Return construction and annualization</w:t>
      </w:r>
    </w:p>
    <w:p>
      <w:pPr>
        <w:pStyle w:val="FirstParagraph"/>
      </w:pPr>
      <w:r>
        <w:t xml:space="preserve">Raw inputs are monthly net asset values. Continuously compounded returns use log differences:</w:t>
      </w:r>
    </w:p>
    <w:p>
      <w:pPr>
        <w:pStyle w:val="BodyText"/>
      </w:pPr>
      <m:oMathPara>
        <m:oMathParaPr>
          <m:jc m:val="center"/>
        </m:oMathParaPr>
        <m:oMath>
          <m:sSub>
            <m:e>
              <m:r>
                <m:t>r</m:t>
              </m:r>
            </m:e>
            <m:sub>
              <m:r>
                <m:t>i</m:t>
              </m:r>
              <m:r>
                <m:rPr>
                  <m:sty m:val="p"/>
                </m:rPr>
                <m:t>,</m:t>
              </m:r>
              <m:r>
                <m:t>t</m:t>
              </m:r>
            </m:sub>
          </m:sSub>
          <m:r>
            <m:rPr>
              <m:sty m:val="p"/>
            </m:rPr>
            <m:t>=</m:t>
          </m:r>
          <m:r>
            <m:rPr>
              <m:sty m:val="p"/>
            </m:rPr>
            <m:t>ln</m:t>
          </m:r>
          <m:d>
            <m:dPr>
              <m:begChr m:val="("/>
              <m:sepChr m:val=""/>
              <m:endChr m:val=")"/>
              <m:grow/>
            </m:dPr>
            <m:e>
              <m:f>
                <m:fPr>
                  <m:type m:val="bar"/>
                </m:fPr>
                <m:num>
                  <m:sSub>
                    <m:e>
                      <m:r>
                        <m:t>P</m:t>
                      </m:r>
                    </m:e>
                    <m:sub>
                      <m:r>
                        <m:t>i</m:t>
                      </m:r>
                      <m:r>
                        <m:rPr>
                          <m:sty m:val="p"/>
                        </m:rPr>
                        <m:t>,</m:t>
                      </m:r>
                      <m:r>
                        <m:t>t</m:t>
                      </m:r>
                    </m:sub>
                  </m:sSub>
                </m:num>
                <m:den>
                  <m:sSub>
                    <m:e>
                      <m:r>
                        <m:t>P</m:t>
                      </m:r>
                    </m:e>
                    <m:sub>
                      <m:r>
                        <m:t>i</m:t>
                      </m:r>
                      <m:r>
                        <m:rPr>
                          <m:sty m:val="p"/>
                        </m:rPr>
                        <m:t>,</m:t>
                      </m:r>
                      <m:r>
                        <m:t>t</m:t>
                      </m:r>
                      <m:r>
                        <m:rPr>
                          <m:sty m:val="p"/>
                        </m:rPr>
                        <m:t>−</m:t>
                      </m:r>
                      <m:r>
                        <m:t>1</m:t>
                      </m:r>
                    </m:sub>
                  </m:sSub>
                </m:den>
              </m:f>
            </m:e>
          </m:d>
          <m:r>
            <m:rPr>
              <m:sty m:val="p"/>
            </m:rPr>
            <m:t>.</m:t>
          </m:r>
        </m:oMath>
      </m:oMathPara>
    </w:p>
    <w:p>
      <w:pPr>
        <w:pStyle w:val="FirstParagraph"/>
      </w:pPr>
      <w:r>
        <w:t xml:space="preserve">Annualization applies a factor of twelve on monthly moments, consistent with the PRD data-pipeline specification for monthly data. This choice must remain synchronized across Excel and Python; mixing twelve with two-hundred-fifty-two would silently rescale risk and return, breaking reconciliation.</w:t>
      </w:r>
    </w:p>
    <w:bookmarkEnd w:id="23"/>
    <w:bookmarkStart w:id="24" w:name="descriptive-interpretation"/>
    <w:p>
      <w:pPr>
        <w:pStyle w:val="Heading3"/>
      </w:pPr>
      <w:r>
        <w:t xml:space="preserve">3.3 Descriptive interpretation</w:t>
      </w:r>
    </w:p>
    <w:p>
      <w:pPr>
        <w:pStyle w:val="FirstParagraph"/>
      </w:pPr>
      <w:r>
        <w:t xml:space="preserve">The mean vector</w:t>
      </w:r>
      <w:r>
        <w:t xml:space="preserve"> </w:t>
      </w:r>
      <m:oMath>
        <m:r>
          <m:rPr>
            <m:sty m:val="bi"/>
          </m:rPr>
          <m:t>μ</m:t>
        </m:r>
      </m:oMath>
      <w:r>
        <w:t xml:space="preserve"> </w:t>
      </w:r>
      <w:r>
        <w:t xml:space="preserve">stored in</w:t>
      </w:r>
      <w:r>
        <w:t xml:space="preserve"> </w:t>
      </w:r>
      <w:r>
        <w:rPr>
          <w:rStyle w:val="VerbatimChar"/>
        </w:rPr>
        <w:t xml:space="preserve">mu_vector.json</w:t>
      </w:r>
      <w:r>
        <w:t xml:space="preserve"> </w:t>
      </w:r>
      <w:r>
        <w:t xml:space="preserve">encodes annualized expected returns as decimals (e.g., 0.09 is nine percent per annum). In the current snapshot, equity-tilted names exhibit higher means than broad fixed-income ETFs, while international bonds show lower means commensurate with their role as volatility dampeners. The covariance matrix</w:t>
      </w:r>
      <w:r>
        <w:t xml:space="preserve"> </w:t>
      </w:r>
      <m:oMath>
        <m:r>
          <m:rPr>
            <m:sty m:val="b"/>
          </m:rPr>
          <m:t>Σ</m:t>
        </m:r>
      </m:oMath>
      <w:r>
        <w:t xml:space="preserve"> </w:t>
      </w:r>
      <w:r>
        <w:t xml:space="preserve">in</w:t>
      </w:r>
      <w:r>
        <w:t xml:space="preserve"> </w:t>
      </w:r>
      <w:r>
        <w:rPr>
          <w:rStyle w:val="VerbatimChar"/>
        </w:rPr>
        <w:t xml:space="preserve">cov_matrix.json</w:t>
      </w:r>
      <w:r>
        <w:t xml:space="preserve"> </w:t>
      </w:r>
      <w:r>
        <w:t xml:space="preserve">captures shared macro shocks: equity blocks correlate positively with each other; bond entries provide lower correlation with equities, supporting diversification benefits in optimized portfolios.</w:t>
      </w:r>
    </w:p>
    <w:p>
      <w:pPr>
        <w:pStyle w:val="BodyText"/>
      </w:pPr>
      <w:r>
        <w:t xml:space="preserve">A correlation heatmap—recommended as a figure in the Word version—visualizes these dependencies. For academic honesty, note that sample covariances are point estimates; stability across subsamples is not guaranteed, and out-of-sample performance may deviate from in-sample optima.</w:t>
      </w:r>
    </w:p>
    <w:bookmarkEnd w:id="24"/>
    <w:bookmarkStart w:id="25" w:name="Xa7b1f23f6c16de9f4fb6833b3a50644f040d79d"/>
    <w:p>
      <w:pPr>
        <w:pStyle w:val="Heading3"/>
      </w:pPr>
      <w:r>
        <w:t xml:space="preserve">3.4 Correlation structure and diversification</w:t>
      </w:r>
    </w:p>
    <w:p>
      <w:pPr>
        <w:pStyle w:val="FirstParagraph"/>
      </w:pPr>
      <w:r>
        <w:t xml:space="preserve">Let</w:t>
      </w:r>
      <w:r>
        <w:t xml:space="preserve"> </w:t>
      </w:r>
      <m:oMath>
        <m:r>
          <m:t>D</m:t>
        </m:r>
      </m:oMath>
      <w:r>
        <w:t xml:space="preserve"> </w:t>
      </w:r>
      <w:r>
        <w:t xml:space="preserve">be the diagonal matrix of asset volatilities extracted from</w:t>
      </w:r>
      <w:r>
        <w:t xml:space="preserve"> </w:t>
      </w:r>
      <m:oMath>
        <m:r>
          <m:rPr>
            <m:sty m:val="b"/>
          </m:rPr>
          <m:t>Σ</m:t>
        </m:r>
      </m:oMath>
      <w:r>
        <w:t xml:space="preserve">. The correlation matrix</w:t>
      </w:r>
      <w:r>
        <w:t xml:space="preserve"> </w:t>
      </w:r>
      <m:oMath>
        <m:r>
          <m:rPr>
            <m:sty m:val="bi"/>
          </m:rPr>
          <m:t>R</m:t>
        </m:r>
        <m:r>
          <m:rPr>
            <m:sty m:val="p"/>
          </m:rPr>
          <m:t>=</m:t>
        </m:r>
        <m:sSup>
          <m:e>
            <m:r>
              <m:t>D</m:t>
            </m:r>
          </m:e>
          <m:sup>
            <m:r>
              <m:rPr>
                <m:sty m:val="p"/>
              </m:rPr>
              <m:t>−</m:t>
            </m:r>
            <m:r>
              <m:t>1</m:t>
            </m:r>
          </m:sup>
        </m:sSup>
        <m:r>
          <m:rPr>
            <m:sty m:val="b"/>
          </m:rPr>
          <m:t>Σ</m:t>
        </m:r>
        <m:sSup>
          <m:e>
            <m:r>
              <m:t>D</m:t>
            </m:r>
          </m:e>
          <m:sup>
            <m:r>
              <m:rPr>
                <m:sty m:val="p"/>
              </m:rPr>
              <m:t>−</m:t>
            </m:r>
            <m:r>
              <m:t>1</m:t>
            </m:r>
          </m:sup>
        </m:sSup>
      </m:oMath>
      <w:r>
        <w:t xml:space="preserve"> </w:t>
      </w:r>
      <w:r>
        <w:t xml:space="preserve">has unit diagonal entries</w:t>
      </w:r>
      <w:r>
        <w:t xml:space="preserve"> </w:t>
      </w:r>
      <m:oMath>
        <m:sSub>
          <m:e>
            <m:r>
              <m:t>ρ</m:t>
            </m:r>
          </m:e>
          <m:sub>
            <m:r>
              <m:t>i</m:t>
            </m:r>
            <m:r>
              <m:t>i</m:t>
            </m:r>
          </m:sub>
        </m:sSub>
        <m:r>
          <m:rPr>
            <m:sty m:val="p"/>
          </m:rPr>
          <m:t>=</m:t>
        </m:r>
        <m:r>
          <m:t>1</m:t>
        </m:r>
      </m:oMath>
      <w:r>
        <w:t xml:space="preserve"> </w:t>
      </w:r>
      <w:r>
        <w:t xml:space="preserve">and off-diagonals in</w:t>
      </w:r>
      <w:r>
        <w:t xml:space="preserve"> </w:t>
      </w:r>
      <m:oMath>
        <m:r>
          <m:rPr>
            <m:sty m:val="p"/>
          </m:rPr>
          <m:t>[</m:t>
        </m:r>
        <m:r>
          <m:rPr>
            <m:sty m:val="p"/>
          </m:rPr>
          <m:t>−</m:t>
        </m:r>
        <m:r>
          <m:t>1</m:t>
        </m:r>
        <m:r>
          <m:rPr>
            <m:sty m:val="p"/>
          </m:rPr>
          <m:t>,</m:t>
        </m:r>
        <m:r>
          <m:t>1</m:t>
        </m:r>
        <m:r>
          <m:rPr>
            <m:sty m:val="p"/>
          </m:rPr>
          <m:t>]</m:t>
        </m:r>
      </m:oMath>
      <w:r>
        <w:t xml:space="preserve">. In diversified universes, many equity–equity correlations fall in the range 0.5–0.9 depending on the sample, while equity–bond correlations may be lower or even negative in deflationary or flight-to-quality episodes. These stylized facts matter for optimization: when correlations are high, diversification offers less variance reduction per unit of tracking error budget; when correlations are low, naive equal weighting can be surprisingly competitive unless mean estimates strongly favor a subset.</w:t>
      </w:r>
    </w:p>
    <w:bookmarkEnd w:id="25"/>
    <w:bookmarkStart w:id="26" w:name="estimation-risk-and-shrinkage-conceptual"/>
    <w:p>
      <w:pPr>
        <w:pStyle w:val="Heading3"/>
      </w:pPr>
      <w:r>
        <w:t xml:space="preserve">3.5 Estimation risk and shrinkage (conceptual)</w:t>
      </w:r>
    </w:p>
    <w:p>
      <w:pPr>
        <w:pStyle w:val="FirstParagraph"/>
      </w:pPr>
      <w:r>
        <w:t xml:space="preserve">Jobson and Korkie (1980) and subsequent literature emphasize that</w:t>
      </w:r>
      <w:r>
        <w:t xml:space="preserve"> </w:t>
      </w:r>
      <m:oMath>
        <m:acc>
          <m:accPr>
            <m:chr m:val="̂"/>
          </m:accPr>
          <m:e>
            <m:r>
              <m:rPr>
                <m:sty m:val="bi"/>
              </m:rPr>
              <m:t>μ</m:t>
            </m:r>
          </m:e>
        </m:acc>
      </m:oMath>
      <w:r>
        <w:t xml:space="preserve"> </w:t>
      </w:r>
      <w:r>
        <w:t xml:space="preserve">and</w:t>
      </w:r>
      <w:r>
        <w:t xml:space="preserve"> </w:t>
      </w:r>
      <m:oMath>
        <m:acc>
          <m:accPr>
            <m:chr m:val="̂"/>
          </m:accPr>
          <m:e>
            <m:r>
              <m:rPr>
                <m:sty m:val="b"/>
              </m:rPr>
              <m:t>Σ</m:t>
            </m:r>
          </m:e>
        </m:acc>
      </m:oMath>
      <w:r>
        <w:t xml:space="preserve"> </w:t>
      </w:r>
      <w:r>
        <w:t xml:space="preserve">are estimated with error. Mean returns are particularly noisy at monthly frequency even over a decade; covariance estimates are more stable but still imperfect. Robust portfolio methods shrink</w:t>
      </w:r>
      <w:r>
        <w:t xml:space="preserve"> </w:t>
      </w:r>
      <m:oMath>
        <m:acc>
          <m:accPr>
            <m:chr m:val="̂"/>
          </m:accPr>
          <m:e>
            <m:r>
              <m:rPr>
                <m:sty m:val="b"/>
              </m:rPr>
              <m:t>Σ</m:t>
            </m:r>
          </m:e>
        </m:acc>
      </m:oMath>
      <w:r>
        <w:t xml:space="preserve"> </w:t>
      </w:r>
      <w:r>
        <w:t xml:space="preserve">toward structured targets or impose Bayesian priors (Black–Litterman blends market equilibrium with views). This implementation stays classical for clarity, but the report must acknowledge that out-of-sample performance may underperform the in-sample efficient frontier—a phenomenon often called the “Markowitz enigma” when optimization overfits sample means.</w:t>
      </w:r>
    </w:p>
    <w:p>
      <w:pPr>
        <w:pStyle w:val="BodyText"/>
      </w:pPr>
      <w:r>
        <w:t xml:space="preserve">The choice of estimation window is itself a source of parameter risk. Rolling and expanding windows produce different</w:t>
      </w:r>
      <w:r>
        <w:t xml:space="preserve"> </w:t>
      </w:r>
      <m:oMath>
        <m:acc>
          <m:accPr>
            <m:chr m:val="̂"/>
          </m:accPr>
          <m:e>
            <m:r>
              <m:rPr>
                <m:sty m:val="b"/>
              </m:rPr>
              <m:t>Σ</m:t>
            </m:r>
          </m:e>
        </m:acc>
      </m:oMath>
      <w:r>
        <w:t xml:space="preserve">; crisis periods inflate covariance estimates if included, and omitting them can understate tail risk. This project uses the common sample 2013-06-01 to 2026-04-01 (155 monthly rows) defined by the data manifest and bounded by BNDX’s inception date. Alternative windows would shift GMVP and frontier locations; such sensitivity analysis is standard in portfolio management coursework but is deferred to future work.</w:t>
      </w:r>
    </w:p>
    <w:bookmarkEnd w:id="26"/>
    <w:bookmarkStart w:id="27" w:name="data-quality-checks"/>
    <w:p>
      <w:pPr>
        <w:pStyle w:val="Heading3"/>
      </w:pPr>
      <w:r>
        <w:t xml:space="preserve">3.6 Data quality checks</w:t>
      </w:r>
    </w:p>
    <w:p>
      <w:pPr>
        <w:pStyle w:val="FirstParagraph"/>
      </w:pPr>
      <w:r>
        <w:t xml:space="preserve">Practical pipelines validate: monotonic dates (allowing corporate actions adjustments if applicable), absence of duplicated rows, plausible NAV ranges, and synchronized calendars across tickers. Missing months should be imputed or excluded consistently in both Excel and Python; inconsistent treatment is a frequent reconciliation failure mode.</w:t>
      </w:r>
    </w:p>
    <w:bookmarkEnd w:id="27"/>
    <w:bookmarkStart w:id="28" w:name="X14dfb814bfee0bb08310d738f0a1f09262b3378"/>
    <w:p>
      <w:pPr>
        <w:pStyle w:val="Heading3"/>
      </w:pPr>
      <w:r>
        <w:t xml:space="preserve">3.7 ETF proxy methodology and FSMOne universe constraints</w:t>
      </w:r>
    </w:p>
    <w:p>
      <w:pPr>
        <w:pStyle w:val="FirstParagraph"/>
      </w:pPr>
      <w:r>
        <w:t xml:space="preserve">Exchange-traded funds differ from mutual funds in liquidity and tracking error versus stated benchmarks. Some sector funds concentrate industry risk; leveraged or inverse products would violate the pedagogical simplicity of classical mean–variance analysis and are excluded by design. Dividend reinvestment assumptions should match between price series and NAV series if both exist; the project standardizes on NAV as provided in the PRD schema.</w:t>
      </w:r>
    </w:p>
    <w:p>
      <w:pPr>
        <w:pStyle w:val="BodyText"/>
      </w:pPr>
      <w:r>
        <w:t xml:space="preserve">The investable universe is defined as ten FSMOne-distributed funds, but the historical NAV data driving the covariance matrix and expected returns is sourced from ten US-listed ETF proxies via Yahoo Finance. This two-layer architecture — FSMOne funds as the display and execution layer, ETF proxies as the estimation layer — is documented explicitly in the platform’s response payload (each fund metadata entry exposes both</w:t>
      </w:r>
      <w:r>
        <w:t xml:space="preserve"> </w:t>
      </w:r>
      <w:r>
        <w:rPr>
          <w:rStyle w:val="VerbatimChar"/>
        </w:rPr>
        <w:t xml:space="preserve">fund_code</w:t>
      </w:r>
      <w:r>
        <w:t xml:space="preserve">/</w:t>
      </w:r>
      <w:r>
        <w:rPr>
          <w:rStyle w:val="VerbatimChar"/>
        </w:rPr>
        <w:t xml:space="preserve">fund_name</w:t>
      </w:r>
      <w:r>
        <w:t xml:space="preserve"> </w:t>
      </w:r>
      <w:r>
        <w:t xml:space="preserve">for the FSMOne identifier and</w:t>
      </w:r>
      <w:r>
        <w:t xml:space="preserve"> </w:t>
      </w:r>
      <w:r>
        <w:rPr>
          <w:rStyle w:val="VerbatimChar"/>
        </w:rPr>
        <w:t xml:space="preserve">proxy_ticker</w:t>
      </w:r>
      <w:r>
        <w:t xml:space="preserve">/</w:t>
      </w:r>
      <w:r>
        <w:rPr>
          <w:rStyle w:val="VerbatimChar"/>
        </w:rPr>
        <w:t xml:space="preserve">proxy_provider</w:t>
      </w:r>
      <w:r>
        <w:t xml:space="preserve"> </w:t>
      </w:r>
      <w:r>
        <w:t xml:space="preserve">for the estimation source) and surfaced on the user interface via a methodology tooltip. The choice is motivated by uniformity rather than necessity in most cases: of the ten selected FSMOne funds, eight have launch dates predating 2017 and could in principle supply the 10-year monthly NAV history directly, while one (AB SICAV I Global Growth Portfolio AX USD, launched 2026-02-27) is too new for any meaningful historical analysis. Sourcing all ten from a single data pipeline (Yahoo Finance ETF proxies) ensures a synchronized calendar, identical dividend-reinvestment treatment, and a single point of audit, which would be substantially more complex if combining FSMOne NAV exports with Yahoo ETF series.</w:t>
      </w:r>
    </w:p>
    <w:p>
      <w:pPr>
        <w:pStyle w:val="BodyText"/>
      </w:pPr>
      <w:r>
        <w:t xml:space="preserve">One fund in the universe — Fidelity Funds - Global Healthcare Fund A-ACC-USD — does not have an exact match on FSMOne’s Singapore platform: only the A-EUR share class (FSMOne code FIHLTC) is distributed locally. The A-ACC-USD class is documented in Fidelity’s Luxembourg prospectus (ISIN LU0882574055) and is the share class whose return characteristics align with the XLV (Health Care Select Sector SPDR) proxy used here. A Singaporean investor following the platform’s recommendation would in practice purchase the A-EUR class, accepting the additional FX exposure, or seek the A-ACC-USD class through a non-FSMOne channel. The platform’s metadata leaves the FSMOne identifier for this fund as a synthetic placeholder and surfaces the constraint via a</w:t>
      </w:r>
      <w:r>
        <w:t xml:space="preserve"> </w:t>
      </w:r>
      <w:r>
        <w:rPr>
          <w:rStyle w:val="VerbatimChar"/>
        </w:rPr>
        <w:t xml:space="preserve">_comment</w:t>
      </w:r>
      <w:r>
        <w:t xml:space="preserve"> </w:t>
      </w:r>
      <w:r>
        <w:t xml:space="preserve">field. This honest representation of a universe gap is preferable to silently substituting a near-match share class that would introduce FX risk not modeled by the covariance matrix.</w:t>
      </w:r>
    </w:p>
    <w:p>
      <w:r>
        <w:pict>
          <v:rect style="width:0;height:1.5pt" o:hralign="center" o:hrstd="t" o:hr="t"/>
        </w:pict>
      </w:r>
    </w:p>
    <w:bookmarkEnd w:id="28"/>
    <w:bookmarkEnd w:id="29"/>
    <w:bookmarkStart w:id="37" w:name="implementation-pipeline"/>
    <w:p>
      <w:pPr>
        <w:pStyle w:val="Heading2"/>
      </w:pPr>
      <w:r>
        <w:t xml:space="preserve">4. Implementation Pipeline</w:t>
      </w:r>
    </w:p>
    <w:p>
      <w:pPr>
        <w:pStyle w:val="FirstParagraph"/>
      </w:pPr>
      <w:r>
        <w:t xml:space="preserve">This section documents the sequence of engineering steps taken to build the platform, from raw market data through to the user-facing portfolio recommendation. The ordering reflects the data dependency chain: each step consumes the output of the previous one.</w:t>
      </w:r>
    </w:p>
    <w:bookmarkStart w:id="30" w:name="fund-universe-and-data-acquisition"/>
    <w:p>
      <w:pPr>
        <w:pStyle w:val="Heading3"/>
      </w:pPr>
      <w:r>
        <w:t xml:space="preserve">4.1 Fund universe and data acquisition</w:t>
      </w:r>
    </w:p>
    <w:p>
      <w:pPr>
        <w:pStyle w:val="FirstParagraph"/>
      </w:pPr>
      <w:r>
        <w:t xml:space="preserve">Ten FSMOne mutual funds were selected to span the major asset classes and geographic regions required by the PRD (global equity, regional equity, emerging markets, real estate, multi-asset, global and EM fixed-income). Because FSMOne does not publish ten-year historical NAV data through any public API and most of the selected share classes have insufficient history to support a ~13-year mean-variance estimate (the aligned window is 155 monthly rows, approximately 12 years 10 months, limited by BNDX’s 2013-06-01 inception) in their own right, a liquid US-listed ETF was identified as a proxy for each fund. The ETF price series drives the covariance matrix and mean return vector; the FSMOne fund identifiers drive all user-facing display and the final portfolio allocation the user would execute. This two-layer architecture is exposed explicitly in the API and in the UI via a methodology tooltip.</w:t>
      </w:r>
    </w:p>
    <w:p>
      <w:pPr>
        <w:pStyle w:val="BodyText"/>
      </w:pPr>
      <w:r>
        <w:t xml:space="preserve">ETF monthly adjusted-close NAV data was downloaded via the</w:t>
      </w:r>
      <w:r>
        <w:t xml:space="preserve"> </w:t>
      </w:r>
      <w:r>
        <w:rPr>
          <w:rStyle w:val="VerbatimChar"/>
        </w:rPr>
        <w:t xml:space="preserve">yfinance</w:t>
      </w:r>
      <w:r>
        <w:t xml:space="preserve"> </w:t>
      </w:r>
      <w:r>
        <w:t xml:space="preserve">library through</w:t>
      </w:r>
      <w:r>
        <w:t xml:space="preserve"> </w:t>
      </w:r>
      <w:r>
        <w:rPr>
          <w:rStyle w:val="VerbatimChar"/>
        </w:rPr>
        <w:t xml:space="preserve">scripts/download_yfinance_data.py</w:t>
      </w:r>
      <w:r>
        <w:t xml:space="preserve">. The aligned window 2013-06-01 to 2026-04-01 (155 monthly rows) was chosen because BNDX (PIMCO Global Bond proxy) is the binding constraint at 155 rows of history; every other ticker in the universe has at least this depth.</w:t>
      </w:r>
    </w:p>
    <w:bookmarkEnd w:id="30"/>
    <w:bookmarkStart w:id="31" w:name="return-series-and-moment-estimation"/>
    <w:p>
      <w:pPr>
        <w:pStyle w:val="Heading3"/>
      </w:pPr>
      <w:r>
        <w:t xml:space="preserve">4.2 Return series and moment estimation</w:t>
      </w:r>
    </w:p>
    <w:p>
      <w:pPr>
        <w:pStyle w:val="FirstParagraph"/>
      </w:pPr>
      <w:r>
        <w:t xml:space="preserve">For each ETF proxy, continuously-compounded monthly log returns were computed as</w:t>
      </w:r>
      <w:r>
        <w:t xml:space="preserve"> </w:t>
      </w:r>
      <m:oMath>
        <m:sSub>
          <m:e>
            <m:r>
              <m:t>r</m:t>
            </m:r>
          </m:e>
          <m:sub>
            <m:r>
              <m:t>t</m:t>
            </m:r>
          </m:sub>
        </m:sSub>
        <m:r>
          <m:rPr>
            <m:sty m:val="p"/>
          </m:rPr>
          <m:t>=</m:t>
        </m:r>
        <m:r>
          <m:rPr>
            <m:sty m:val="p"/>
          </m:rPr>
          <m:t>ln</m:t>
        </m:r>
        <m:r>
          <m:rPr>
            <m:sty m:val="p"/>
          </m:rPr>
          <m:t>(</m:t>
        </m:r>
        <m:sSub>
          <m:e>
            <m:r>
              <m:rPr>
                <m:sty m:val="p"/>
              </m:rPr>
              <m:t>N</m:t>
            </m:r>
            <m:r>
              <m:rPr>
                <m:sty m:val="p"/>
              </m:rPr>
              <m:t>A</m:t>
            </m:r>
            <m:r>
              <m:rPr>
                <m:sty m:val="p"/>
              </m:rPr>
              <m:t>V</m:t>
            </m:r>
          </m:e>
          <m:sub>
            <m:r>
              <m:t>t</m:t>
            </m:r>
          </m:sub>
        </m:sSub>
        <m:r>
          <m:rPr>
            <m:sty m:val="p"/>
          </m:rPr>
          <m:t>/</m:t>
        </m:r>
        <m:sSub>
          <m:e>
            <m:r>
              <m:rPr>
                <m:sty m:val="p"/>
              </m:rPr>
              <m:t>N</m:t>
            </m:r>
            <m:r>
              <m:rPr>
                <m:sty m:val="p"/>
              </m:rPr>
              <m:t>A</m:t>
            </m:r>
            <m:r>
              <m:rPr>
                <m:sty m:val="p"/>
              </m:rPr>
              <m:t>V</m:t>
            </m:r>
          </m:e>
          <m:sub>
            <m:r>
              <m:t>t</m:t>
            </m:r>
            <m:r>
              <m:rPr>
                <m:sty m:val="p"/>
              </m:rPr>
              <m:t>−</m:t>
            </m:r>
            <m:r>
              <m:t>1</m:t>
            </m:r>
          </m:sub>
        </m:sSub>
        <m:r>
          <m:rPr>
            <m:sty m:val="p"/>
          </m:rPr>
          <m:t>)</m:t>
        </m:r>
      </m:oMath>
      <w:r>
        <w:t xml:space="preserve">, yielding 154 log-return observations per asset. Annualized moments were computed as</w:t>
      </w:r>
    </w:p>
    <w:p>
      <w:pPr>
        <w:pStyle w:val="BodyText"/>
      </w:pPr>
      <m:oMathPara>
        <m:oMathParaPr>
          <m:jc m:val="center"/>
        </m:oMathParaPr>
        <m:oMath>
          <m:sSub>
            <m:e>
              <m:r>
                <m:rPr>
                  <m:sty m:val="bi"/>
                </m:rPr>
                <m:t>μ</m:t>
              </m:r>
            </m:e>
            <m:sub>
              <m:r>
                <m:rPr>
                  <m:sty m:val="p"/>
                </m:rPr>
                <m:t>a</m:t>
              </m:r>
              <m:r>
                <m:rPr>
                  <m:sty m:val="p"/>
                </m:rPr>
                <m:t>n</m:t>
              </m:r>
              <m:r>
                <m:rPr>
                  <m:sty m:val="p"/>
                </m:rPr>
                <m:t>n</m:t>
              </m:r>
              <m:r>
                <m:rPr>
                  <m:sty m:val="p"/>
                </m:rPr>
                <m:t>u</m:t>
              </m:r>
              <m:r>
                <m:rPr>
                  <m:sty m:val="p"/>
                </m:rPr>
                <m:t>a</m:t>
              </m:r>
              <m:r>
                <m:rPr>
                  <m:sty m:val="p"/>
                </m:rPr>
                <m:t>l</m:t>
              </m:r>
            </m:sub>
          </m:sSub>
          <m:r>
            <m:rPr>
              <m:sty m:val="p"/>
            </m:rPr>
            <m:t>=</m:t>
          </m:r>
          <m:r>
            <m:rPr>
              <m:sty m:val="p"/>
            </m:rPr>
            <m:t>m</m:t>
          </m:r>
          <m:r>
            <m:rPr>
              <m:sty m:val="p"/>
            </m:rPr>
            <m:t>e</m:t>
          </m:r>
          <m:r>
            <m:rPr>
              <m:sty m:val="p"/>
            </m:rPr>
            <m:t>a</m:t>
          </m:r>
          <m:r>
            <m:rPr>
              <m:sty m:val="p"/>
            </m:rPr>
            <m:t>n</m:t>
          </m:r>
          <m:r>
            <m:rPr>
              <m:sty m:val="p"/>
            </m:rPr>
            <m:t>(</m:t>
          </m:r>
          <m:sSub>
            <m:e>
              <m:r>
                <m:rPr>
                  <m:sty m:val="bi"/>
                </m:rPr>
                <m:t>r</m:t>
              </m:r>
            </m:e>
            <m:sub>
              <m:r>
                <m:rPr>
                  <m:sty m:val="p"/>
                </m:rPr>
                <m:t>log</m:t>
              </m:r>
            </m:sub>
          </m:sSub>
          <m:r>
            <m:rPr>
              <m:sty m:val="p"/>
            </m:rPr>
            <m:t>)</m:t>
          </m:r>
          <m:r>
            <m:rPr>
              <m:sty m:val="p"/>
            </m:rPr>
            <m:t>×</m:t>
          </m:r>
          <m:r>
            <m:t>12</m:t>
          </m:r>
        </m:oMath>
      </m:oMathPara>
    </w:p>
    <w:p>
      <w:pPr>
        <w:pStyle w:val="FirstParagraph"/>
      </w:pPr>
      <m:oMathPara>
        <m:oMathParaPr>
          <m:jc m:val="center"/>
        </m:oMathParaPr>
        <m:oMath>
          <m:sSub>
            <m:e>
              <m:r>
                <m:rPr>
                  <m:sty m:val="b"/>
                </m:rPr>
                <m:t>Σ</m:t>
              </m:r>
            </m:e>
            <m:sub>
              <m:r>
                <m:rPr>
                  <m:sty m:val="p"/>
                </m:rPr>
                <m:t>a</m:t>
              </m:r>
              <m:r>
                <m:rPr>
                  <m:sty m:val="p"/>
                </m:rPr>
                <m:t>n</m:t>
              </m:r>
              <m:r>
                <m:rPr>
                  <m:sty m:val="p"/>
                </m:rPr>
                <m:t>n</m:t>
              </m:r>
              <m:r>
                <m:rPr>
                  <m:sty m:val="p"/>
                </m:rPr>
                <m:t>u</m:t>
              </m:r>
              <m:r>
                <m:rPr>
                  <m:sty m:val="p"/>
                </m:rPr>
                <m:t>a</m:t>
              </m:r>
              <m:r>
                <m:rPr>
                  <m:sty m:val="p"/>
                </m:rPr>
                <m:t>l</m:t>
              </m:r>
            </m:sub>
          </m:sSub>
          <m:r>
            <m:rPr>
              <m:sty m:val="p"/>
            </m:rPr>
            <m:t>=</m:t>
          </m:r>
          <m:r>
            <m:rPr>
              <m:sty m:val="p"/>
            </m:rPr>
            <m:t>c</m:t>
          </m:r>
          <m:r>
            <m:rPr>
              <m:sty m:val="p"/>
            </m:rPr>
            <m:t>o</m:t>
          </m:r>
          <m:r>
            <m:rPr>
              <m:sty m:val="p"/>
            </m:rPr>
            <m:t>v</m:t>
          </m:r>
          <m:r>
            <m:rPr>
              <m:sty m:val="p"/>
            </m:rPr>
            <m:t>(</m:t>
          </m:r>
          <m:sSub>
            <m:e>
              <m:r>
                <m:rPr>
                  <m:sty m:val="bi"/>
                </m:rPr>
                <m:t>r</m:t>
              </m:r>
            </m:e>
            <m:sub>
              <m:r>
                <m:rPr>
                  <m:sty m:val="p"/>
                </m:rPr>
                <m:t>log</m:t>
              </m:r>
            </m:sub>
          </m:sSub>
          <m:r>
            <m:rPr>
              <m:sty m:val="p"/>
            </m:rPr>
            <m:t>,</m:t>
          </m:r>
          <m:r>
            <m:t> </m:t>
          </m:r>
          <m:r>
            <m:rPr>
              <m:sty m:val="p"/>
            </m:rPr>
            <m:t>d</m:t>
          </m:r>
          <m:r>
            <m:rPr>
              <m:sty m:val="p"/>
            </m:rPr>
            <m:t>d</m:t>
          </m:r>
          <m:r>
            <m:rPr>
              <m:sty m:val="p"/>
            </m:rPr>
            <m:t>o</m:t>
          </m:r>
          <m:r>
            <m:rPr>
              <m:sty m:val="p"/>
            </m:rPr>
            <m:t>f</m:t>
          </m:r>
          <m:r>
            <m:rPr>
              <m:sty m:val="p"/>
            </m:rPr>
            <m:t>=</m:t>
          </m:r>
          <m:r>
            <m:t>1</m:t>
          </m:r>
          <m:r>
            <m:rPr>
              <m:sty m:val="p"/>
            </m:rPr>
            <m:t>)</m:t>
          </m:r>
          <m:r>
            <m:rPr>
              <m:sty m:val="p"/>
            </m:rPr>
            <m:t>×</m:t>
          </m:r>
          <m:r>
            <m:t>12</m:t>
          </m:r>
        </m:oMath>
      </m:oMathPara>
    </w:p>
    <w:p>
      <w:pPr>
        <w:pStyle w:val="FirstParagraph"/>
      </w:pPr>
      <w:r>
        <w:t xml:space="preserve">These computations are implemented identically in Python (</w:t>
      </w:r>
      <w:r>
        <w:rPr>
          <w:rStyle w:val="VerbatimChar"/>
        </w:rPr>
        <w:t xml:space="preserve">backend/data_pipeline.py</w:t>
      </w:r>
      <w:r>
        <w:t xml:space="preserve"> </w:t>
      </w:r>
      <w:r>
        <w:t xml:space="preserve">using NumPy) and in Excel (</w:t>
      </w:r>
      <w:r>
        <w:rPr>
          <w:rStyle w:val="VerbatimChar"/>
        </w:rPr>
        <w:t xml:space="preserve">NAV_Data</w:t>
      </w:r>
      <w:r>
        <w:t xml:space="preserve"> </w:t>
      </w:r>
      <w:r>
        <w:t xml:space="preserve">→</w:t>
      </w:r>
      <w:r>
        <w:t xml:space="preserve"> </w:t>
      </w:r>
      <w:r>
        <w:rPr>
          <w:rStyle w:val="VerbatimChar"/>
        </w:rPr>
        <w:t xml:space="preserve">Log_Returns</w:t>
      </w:r>
      <w:r>
        <w:t xml:space="preserve"> </w:t>
      </w:r>
      <w:r>
        <w:t xml:space="preserve">→</w:t>
      </w:r>
      <w:r>
        <w:t xml:space="preserve"> </w:t>
      </w:r>
      <w:r>
        <w:rPr>
          <w:rStyle w:val="VerbatimChar"/>
        </w:rPr>
        <w:t xml:space="preserve">Cov_Matrix</w:t>
      </w:r>
      <w:r>
        <w:t xml:space="preserve"> </w:t>
      </w:r>
      <w:r>
        <w:t xml:space="preserve">sheets, using</w:t>
      </w:r>
      <w:r>
        <w:t xml:space="preserve"> </w:t>
      </w:r>
      <w:r>
        <w:rPr>
          <w:rStyle w:val="VerbatimChar"/>
        </w:rPr>
        <w:t xml:space="preserve">LN</w:t>
      </w:r>
      <w:r>
        <w:t xml:space="preserve">,</w:t>
      </w:r>
      <w:r>
        <w:t xml:space="preserve"> </w:t>
      </w:r>
      <w:r>
        <w:rPr>
          <w:rStyle w:val="VerbatimChar"/>
        </w:rPr>
        <w:t xml:space="preserve">AVERAGE</w:t>
      </w:r>
      <w:r>
        <w:t xml:space="preserve">,</w:t>
      </w:r>
      <w:r>
        <w:t xml:space="preserve"> </w:t>
      </w:r>
      <w:r>
        <w:rPr>
          <w:rStyle w:val="VerbatimChar"/>
        </w:rPr>
        <w:t xml:space="preserve">_xlfn.COVARIANCE.S</w:t>
      </w:r>
      <w:r>
        <w:t xml:space="preserve">). The two implementations reconcile at</w:t>
      </w:r>
      <w:r>
        <w:t xml:space="preserve"> </w:t>
      </w:r>
      <m:oMath>
        <m:r>
          <m:rPr>
            <m:sty m:val="p"/>
          </m:rPr>
          <m:t>∼</m:t>
        </m:r>
        <m:sSup>
          <m:e>
            <m:r>
              <m:t>10</m:t>
            </m:r>
          </m:e>
          <m:sup>
            <m:r>
              <m:rPr>
                <m:sty m:val="p"/>
              </m:rPr>
              <m:t>−</m:t>
            </m:r>
            <m:r>
              <m:t>9</m:t>
            </m:r>
          </m:sup>
        </m:sSup>
      </m:oMath>
      <w:r>
        <w:t xml:space="preserve"> </w:t>
      </w:r>
      <w:r>
        <w:t xml:space="preserve">for the mean vector and covariance matrix — effectively machine precision.</w:t>
      </w:r>
    </w:p>
    <w:bookmarkEnd w:id="31"/>
    <w:bookmarkStart w:id="32" w:name="global-minimum-variance-portfolio-1"/>
    <w:p>
      <w:pPr>
        <w:pStyle w:val="Heading3"/>
      </w:pPr>
      <w:r>
        <w:t xml:space="preserve">4.3 Global minimum-variance portfolio</w:t>
      </w:r>
    </w:p>
    <w:p>
      <w:pPr>
        <w:pStyle w:val="FirstParagraph"/>
      </w:pPr>
      <w:r>
        <w:t xml:space="preserve">Before any GMVP computation proceeds, the workbook validates that</w:t>
      </w:r>
      <w:r>
        <w:t xml:space="preserve"> </w:t>
      </w:r>
      <m:oMath>
        <m:r>
          <m:rPr>
            <m:sty m:val="b"/>
          </m:rPr>
          <m:t>Σ</m:t>
        </m:r>
      </m:oMath>
      <w:r>
        <w:t xml:space="preserve"> </w:t>
      </w:r>
      <w:r>
        <w:t xml:space="preserve">is numerically invertible. The</w:t>
      </w:r>
      <w:r>
        <w:t xml:space="preserve"> </w:t>
      </w:r>
      <w:r>
        <w:rPr>
          <w:rStyle w:val="VerbatimChar"/>
        </w:rPr>
        <w:t xml:space="preserve">Cov_Matrix</w:t>
      </w:r>
      <w:r>
        <w:t xml:space="preserve"> </w:t>
      </w:r>
      <w:r>
        <w:t xml:space="preserve">sheet exposes a determinant check via</w:t>
      </w:r>
      <w:r>
        <w:t xml:space="preserve"> </w:t>
      </w:r>
      <w:r>
        <w:rPr>
          <w:rStyle w:val="VerbatimChar"/>
        </w:rPr>
        <w:t xml:space="preserve">MDETERM</w:t>
      </w:r>
      <w:r>
        <w:t xml:space="preserve"> </w:t>
      </w:r>
      <w:r>
        <w:t xml:space="preserve">in its validation cell B19; a small determinant triggers investigation, because near-singular covariances arise if return series are linearly dependent or a column is accidentally duplicated. On the project dataset</w:t>
      </w:r>
      <w:r>
        <w:t xml:space="preserve"> </w:t>
      </w:r>
      <m:oMath>
        <m:r>
          <m:rPr>
            <m:sty m:val="p"/>
          </m:rPr>
          <m:t>det</m:t>
        </m:r>
        <m:r>
          <m:rPr>
            <m:sty m:val="p"/>
          </m:rPr>
          <m:t>(</m:t>
        </m:r>
        <m:r>
          <m:rPr>
            <m:sty m:val="b"/>
          </m:rPr>
          <m:t>Σ</m:t>
        </m:r>
        <m:r>
          <m:rPr>
            <m:sty m:val="p"/>
          </m:rPr>
          <m:t>)</m:t>
        </m:r>
        <m:r>
          <m:rPr>
            <m:sty m:val="p"/>
          </m:rPr>
          <m:t>≈</m:t>
        </m:r>
        <m:r>
          <m:t>6.75</m:t>
        </m:r>
        <m:r>
          <m:rPr>
            <m:sty m:val="p"/>
          </m:rPr>
          <m:t>×</m:t>
        </m:r>
        <m:sSup>
          <m:e>
            <m:r>
              <m:t>10</m:t>
            </m:r>
          </m:e>
          <m:sup>
            <m:r>
              <m:rPr>
                <m:sty m:val="p"/>
              </m:rPr>
              <m:t>−</m:t>
            </m:r>
            <m:r>
              <m:t>26</m:t>
            </m:r>
          </m:sup>
        </m:sSup>
      </m:oMath>
      <w:r>
        <w:t xml:space="preserve"> </w:t>
      </w:r>
      <w:r>
        <w:t xml:space="preserve">with condition number</w:t>
      </w:r>
      <w:r>
        <w:t xml:space="preserve"> </w:t>
      </w:r>
      <m:oMath>
        <m:r>
          <m:t>κ</m:t>
        </m:r>
        <m:r>
          <m:rPr>
            <m:sty m:val="p"/>
          </m:rPr>
          <m:t>(</m:t>
        </m:r>
        <m:r>
          <m:rPr>
            <m:sty m:val="b"/>
          </m:rPr>
          <m:t>Σ</m:t>
        </m:r>
        <m:r>
          <m:rPr>
            <m:sty m:val="p"/>
          </m:rPr>
          <m:t>)</m:t>
        </m:r>
        <m:r>
          <m:rPr>
            <m:sty m:val="p"/>
          </m:rPr>
          <m:t>≈</m:t>
        </m:r>
        <m:r>
          <m:t>1.28</m:t>
        </m:r>
        <m:r>
          <m:rPr>
            <m:sty m:val="p"/>
          </m:rPr>
          <m:t>×</m:t>
        </m:r>
        <m:sSup>
          <m:e>
            <m:r>
              <m:t>10</m:t>
            </m:r>
          </m:e>
          <m:sup>
            <m:r>
              <m:t>3</m:t>
            </m:r>
          </m:sup>
        </m:sSup>
      </m:oMath>
      <w:r>
        <w:t xml:space="preserve"> </w:t>
      </w:r>
      <w:r>
        <w:t xml:space="preserve">— small in magnitude but comfortably within stable inversion range.</w:t>
      </w:r>
    </w:p>
    <w:p>
      <w:pPr>
        <w:pStyle w:val="BodyText"/>
      </w:pPr>
      <w:r>
        <w:t xml:space="preserve">The GMVP is then computed in three variants:</w:t>
      </w:r>
    </w:p>
    <w:p>
      <w:pPr>
        <w:numPr>
          <w:ilvl w:val="0"/>
          <w:numId w:val="1001"/>
        </w:numPr>
      </w:pPr>
      <w:r>
        <w:rPr>
          <w:b/>
          <w:bCs/>
        </w:rPr>
        <w:t xml:space="preserve">Closed-form unconstrained</w:t>
      </w:r>
      <w:r>
        <w:t xml:space="preserve"> </w:t>
      </w:r>
      <w:r>
        <w:t xml:space="preserve">(textbook Markowitz):</w:t>
      </w:r>
      <w:r>
        <w:t xml:space="preserve"> </w:t>
      </w:r>
      <m:oMath>
        <m:sSup>
          <m:e>
            <m:r>
              <m:rPr>
                <m:sty m:val="bi"/>
              </m:rPr>
              <m:t>w</m:t>
            </m:r>
          </m:e>
          <m:sup>
            <m:r>
              <m:rPr>
                <m:sty m:val="p"/>
              </m:rPr>
              <m:t>*</m:t>
            </m:r>
          </m:sup>
        </m:sSup>
        <m:r>
          <m:rPr>
            <m:sty m:val="p"/>
          </m:rPr>
          <m:t>=</m:t>
        </m:r>
        <m:sSup>
          <m:e>
            <m:r>
              <m:rPr>
                <m:sty m:val="b"/>
              </m:rPr>
              <m:t>Σ</m:t>
            </m:r>
          </m:e>
          <m:sup>
            <m:r>
              <m:rPr>
                <m:sty m:val="p"/>
              </m:rPr>
              <m:t>−</m:t>
            </m:r>
            <m:r>
              <m:t>1</m:t>
            </m:r>
          </m:sup>
        </m:sSup>
        <m:r>
          <m:rPr>
            <m:sty m:val="b"/>
          </m:rPr>
          <m:t>1</m:t>
        </m:r>
        <m:r>
          <m:rPr>
            <m:sty m:val="p"/>
          </m:rPr>
          <m:t>/</m:t>
        </m:r>
        <m:r>
          <m:rPr>
            <m:sty m:val="p"/>
          </m:rPr>
          <m:t>(</m:t>
        </m:r>
        <m:sSup>
          <m:e>
            <m:r>
              <m:rPr>
                <m:sty m:val="b"/>
              </m:rPr>
              <m:t>1</m:t>
            </m:r>
          </m:e>
          <m:sup>
            <m:r>
              <m:rPr>
                <m:sty m:val="p"/>
              </m:rPr>
              <m:t>⊤</m:t>
            </m:r>
          </m:sup>
        </m:sSup>
        <m:sSup>
          <m:e>
            <m:r>
              <m:rPr>
                <m:sty m:val="b"/>
              </m:rPr>
              <m:t>Σ</m:t>
            </m:r>
          </m:e>
          <m:sup>
            <m:r>
              <m:rPr>
                <m:sty m:val="p"/>
              </m:rPr>
              <m:t>−</m:t>
            </m:r>
            <m:r>
              <m:t>1</m:t>
            </m:r>
          </m:sup>
        </m:sSup>
        <m:r>
          <m:rPr>
            <m:sty m:val="b"/>
          </m:rPr>
          <m:t>1</m:t>
        </m:r>
        <m:r>
          <m:rPr>
            <m:sty m:val="p"/>
          </m:rPr>
          <m:t>)</m:t>
        </m:r>
      </m:oMath>
      <w:r>
        <w:t xml:space="preserve">. Implemented in the Excel</w:t>
      </w:r>
      <w:r>
        <w:t xml:space="preserve"> </w:t>
      </w:r>
      <w:r>
        <w:rPr>
          <w:rStyle w:val="VerbatimChar"/>
        </w:rPr>
        <w:t xml:space="preserve">GMVP</w:t>
      </w:r>
      <w:r>
        <w:t xml:space="preserve"> </w:t>
      </w:r>
      <w:r>
        <w:t xml:space="preserve">sheet via</w:t>
      </w:r>
      <w:r>
        <w:t xml:space="preserve"> </w:t>
      </w:r>
      <w:r>
        <w:rPr>
          <w:rStyle w:val="VerbatimChar"/>
        </w:rPr>
        <w:t xml:space="preserve">MMULT(MINVERSE(varcov), ones)</w:t>
      </w:r>
      <w:r>
        <w:t xml:space="preserve"> </w:t>
      </w:r>
      <w:r>
        <w:t xml:space="preserve">divided by the sum. On the project dataset, this produces short positions in URTH, VNQ, QQQ, and VT — the mathematically correct unconstrained solution.</w:t>
      </w:r>
    </w:p>
    <w:p>
      <w:pPr>
        <w:numPr>
          <w:ilvl w:val="0"/>
          <w:numId w:val="1001"/>
        </w:numPr>
      </w:pPr>
      <w:r>
        <w:rPr>
          <w:b/>
          <w:bCs/>
        </w:rPr>
        <w:t xml:space="preserve">Long-only constrained</w:t>
      </w:r>
      <w:r>
        <w:t xml:space="preserve"> </w:t>
      </w:r>
      <w:r>
        <w:t xml:space="preserve">(bounded</w:t>
      </w:r>
      <w:r>
        <w:t xml:space="preserve"> </w:t>
      </w:r>
      <m:oMath>
        <m:r>
          <m:t>0</m:t>
        </m:r>
        <m:r>
          <m:rPr>
            <m:sty m:val="p"/>
          </m:rPr>
          <m:t>≤</m:t>
        </m:r>
        <m:sSub>
          <m:e>
            <m:r>
              <m:t>w</m:t>
            </m:r>
          </m:e>
          <m:sub>
            <m:r>
              <m:t>i</m:t>
            </m:r>
          </m:sub>
        </m:sSub>
        <m:r>
          <m:rPr>
            <m:sty m:val="p"/>
          </m:rPr>
          <m:t>≤</m:t>
        </m:r>
        <m:r>
          <m:t>0.4</m:t>
        </m:r>
        <m:r>
          <m:rPr>
            <m:sty m:val="p"/>
          </m:rPr>
          <m:t>,</m:t>
        </m:r>
        <m:r>
          <m:t> </m:t>
        </m:r>
        <m:nary>
          <m:naryPr>
            <m:chr m:val="∑"/>
            <m:limLoc m:val="undOvr"/>
            <m:subHide m:val="off"/>
            <m:supHide m:val="on"/>
          </m:naryPr>
          <m:sub>
            <m:r>
              <m:t>i</m:t>
            </m:r>
          </m:sub>
          <m:sup>
            <m:r>
              <m:t>​</m:t>
            </m:r>
          </m:sup>
          <m:e>
            <m:sSub>
              <m:e>
                <m:r>
                  <m:t>w</m:t>
                </m:r>
              </m:e>
              <m:sub>
                <m:r>
                  <m:t>i</m:t>
                </m:r>
              </m:sub>
            </m:sSub>
          </m:e>
        </m:nary>
        <m:r>
          <m:rPr>
            <m:sty m:val="p"/>
          </m:rPr>
          <m:t>=</m:t>
        </m:r>
        <m:r>
          <m:t>1</m:t>
        </m:r>
      </m:oMath>
      <w:r>
        <w:t xml:space="preserve">): computed in Python via SciPy SLSQP; cross-verified in Excel by running Solver on the</w:t>
      </w:r>
      <w:r>
        <w:t xml:space="preserve"> </w:t>
      </w:r>
      <w:r>
        <w:rPr>
          <w:rStyle w:val="VerbatimChar"/>
        </w:rPr>
        <w:t xml:space="preserve">Optimal</w:t>
      </w:r>
      <w:r>
        <w:t xml:space="preserve"> </w:t>
      </w:r>
      <w:r>
        <w:t xml:space="preserve">sheet at</w:t>
      </w:r>
      <w:r>
        <w:t xml:space="preserve"> </w:t>
      </w:r>
      <m:oMath>
        <m:r>
          <m:t>A</m:t>
        </m:r>
        <m:r>
          <m:rPr>
            <m:sty m:val="p"/>
          </m:rPr>
          <m:t>=</m:t>
        </m:r>
        <m:r>
          <m:t>1000</m:t>
        </m:r>
      </m:oMath>
      <w:r>
        <w:t xml:space="preserve">, where utility maximization degenerates to variance minimization. The two implementations agree at</w:t>
      </w:r>
      <w:r>
        <w:t xml:space="preserve"> </w:t>
      </w:r>
      <m:oMath>
        <m:sSup>
          <m:e>
            <m:r>
              <m:t>10</m:t>
            </m:r>
          </m:e>
          <m:sup>
            <m:r>
              <m:rPr>
                <m:sty m:val="p"/>
              </m:rPr>
              <m:t>−</m:t>
            </m:r>
            <m:r>
              <m:t>4</m:t>
            </m:r>
          </m:sup>
        </m:sSup>
      </m:oMath>
      <w:r>
        <w:t xml:space="preserve">.</w:t>
      </w:r>
    </w:p>
    <w:p>
      <w:pPr>
        <w:numPr>
          <w:ilvl w:val="0"/>
          <w:numId w:val="1001"/>
        </w:numPr>
      </w:pPr>
      <w:r>
        <w:rPr>
          <w:b/>
          <w:bCs/>
        </w:rPr>
        <w:t xml:space="preserve">Short-allowed constrained</w:t>
      </w:r>
      <w:r>
        <w:t xml:space="preserve"> </w:t>
      </w:r>
      <w:r>
        <w:t xml:space="preserve">(bounded</w:t>
      </w:r>
      <w:r>
        <w:t xml:space="preserve"> </w:t>
      </w:r>
      <m:oMath>
        <m:r>
          <m:rPr>
            <m:sty m:val="p"/>
          </m:rPr>
          <m:t>−</m:t>
        </m:r>
        <m:r>
          <m:t>1</m:t>
        </m:r>
        <m:r>
          <m:rPr>
            <m:sty m:val="p"/>
          </m:rPr>
          <m:t>≤</m:t>
        </m:r>
        <m:sSub>
          <m:e>
            <m:r>
              <m:t>w</m:t>
            </m:r>
          </m:e>
          <m:sub>
            <m:r>
              <m:t>i</m:t>
            </m:r>
          </m:sub>
        </m:sSub>
        <m:r>
          <m:rPr>
            <m:sty m:val="p"/>
          </m:rPr>
          <m:t>≤</m:t>
        </m:r>
        <m:r>
          <m:t>2</m:t>
        </m:r>
      </m:oMath>
      <w:r>
        <w:t xml:space="preserve">): for this dataset, the closed-form weights fall within the bounds, so the constrained solution equals the closed-form. The Python implementation exploits this to return the closed-form directly, eliminating SLSQP numerical residuals.</w:t>
      </w:r>
    </w:p>
    <w:bookmarkEnd w:id="32"/>
    <w:bookmarkStart w:id="33" w:name="efficient-frontier-sweep"/>
    <w:p>
      <w:pPr>
        <w:pStyle w:val="Heading3"/>
      </w:pPr>
      <w:r>
        <w:t xml:space="preserve">4.4 Efficient frontier sweep</w:t>
      </w:r>
    </w:p>
    <w:p>
      <w:pPr>
        <w:pStyle w:val="FirstParagraph"/>
      </w:pPr>
      <w:r>
        <w:t xml:space="preserve">Two frontiers are swept, each at 100 points: long-only with a 40% per-asset cap, and short-allowed with bounds</w:t>
      </w:r>
      <w:r>
        <w:t xml:space="preserve"> </w:t>
      </w:r>
      <m:oMath>
        <m:r>
          <m:rPr>
            <m:sty m:val="p"/>
          </m:rPr>
          <m:t>[</m:t>
        </m:r>
        <m:r>
          <m:rPr>
            <m:sty m:val="p"/>
          </m:rPr>
          <m:t>−</m:t>
        </m:r>
        <m:r>
          <m:t>1</m:t>
        </m:r>
        <m:r>
          <m:rPr>
            <m:sty m:val="p"/>
          </m:rPr>
          <m:t>,</m:t>
        </m:r>
        <m:r>
          <m:t>2</m:t>
        </m:r>
        <m:r>
          <m:rPr>
            <m:sty m:val="p"/>
          </m:rPr>
          <m:t>]</m:t>
        </m:r>
      </m:oMath>
      <w:r>
        <w:t xml:space="preserve">. At each target return, Solver (in Excel) and SLSQP (in Python) solve the variance-minimization subproblem</w:t>
      </w:r>
    </w:p>
    <w:p>
      <w:pPr>
        <w:pStyle w:val="BodyText"/>
      </w:pPr>
      <m:oMathPara>
        <m:oMathParaPr>
          <m:jc m:val="center"/>
        </m:oMathParaPr>
        <m:oMath>
          <m:limLow>
            <m:e>
              <m:r>
                <m:rPr>
                  <m:sty m:val="p"/>
                </m:rPr>
                <m:t>min</m:t>
              </m:r>
            </m:e>
            <m:lim>
              <m:r>
                <m:rPr>
                  <m:sty m:val="bi"/>
                </m:rPr>
                <m:t>w</m:t>
              </m:r>
            </m:lim>
          </m:limLow>
          <m:r>
            <m:t> </m:t>
          </m:r>
          <m:sSup>
            <m:e>
              <m:r>
                <m:rPr>
                  <m:sty m:val="bi"/>
                </m:rPr>
                <m:t>w</m:t>
              </m:r>
            </m:e>
            <m:sup>
              <m:r>
                <m:rPr>
                  <m:sty m:val="p"/>
                </m:rPr>
                <m:t>⊤</m:t>
              </m:r>
            </m:sup>
          </m:sSup>
          <m:r>
            <m:rPr>
              <m:sty m:val="b"/>
            </m:rPr>
            <m:t>Σ</m:t>
          </m:r>
          <m:r>
            <m:t> </m:t>
          </m:r>
          <m:r>
            <m:rPr>
              <m:sty m:val="bi"/>
            </m:rPr>
            <m:t>w</m:t>
          </m:r>
          <m:r>
            <m:t> </m:t>
          </m:r>
          <m:r>
            <m:rPr>
              <m:nor/>
              <m:sty m:val="p"/>
            </m:rPr>
            <m:t>subject to</m:t>
          </m:r>
          <m:r>
            <m:t> </m:t>
          </m:r>
          <m:sSup>
            <m:e>
              <m:r>
                <m:rPr>
                  <m:sty m:val="b"/>
                </m:rPr>
                <m:t>1</m:t>
              </m:r>
            </m:e>
            <m:sup>
              <m:r>
                <m:rPr>
                  <m:sty m:val="p"/>
                </m:rPr>
                <m:t>⊤</m:t>
              </m:r>
            </m:sup>
          </m:sSup>
          <m:r>
            <m:rPr>
              <m:sty m:val="bi"/>
            </m:rPr>
            <m:t>w</m:t>
          </m:r>
          <m:r>
            <m:rPr>
              <m:sty m:val="p"/>
            </m:rPr>
            <m:t>=</m:t>
          </m:r>
          <m:r>
            <m:t>1</m:t>
          </m:r>
          <m:r>
            <m:rPr>
              <m:sty m:val="p"/>
            </m:rPr>
            <m:t>,</m:t>
          </m:r>
          <m:r>
            <m:t> </m:t>
          </m:r>
          <m:sSup>
            <m:e>
              <m:r>
                <m:rPr>
                  <m:sty m:val="bi"/>
                </m:rPr>
                <m:t>μ</m:t>
              </m:r>
            </m:e>
            <m:sup>
              <m:r>
                <m:rPr>
                  <m:sty m:val="p"/>
                </m:rPr>
                <m:t>⊤</m:t>
              </m:r>
            </m:sup>
          </m:sSup>
          <m:r>
            <m:rPr>
              <m:sty m:val="bi"/>
            </m:rPr>
            <m:t>w</m:t>
          </m:r>
          <m:r>
            <m:rPr>
              <m:sty m:val="p"/>
            </m:rPr>
            <m:t>≥</m:t>
          </m:r>
          <m:sSub>
            <m:e>
              <m:r>
                <m:t>r</m:t>
              </m:r>
            </m:e>
            <m:sub>
              <m:r>
                <m:rPr>
                  <m:nor/>
                  <m:sty m:val="p"/>
                </m:rPr>
                <m:t>target</m:t>
              </m:r>
            </m:sub>
          </m:sSub>
          <m:r>
            <m:rPr>
              <m:sty m:val="p"/>
            </m:rPr>
            <m:t>,</m:t>
          </m:r>
          <m:r>
            <m:t> </m:t>
          </m:r>
          <m:r>
            <m:rPr>
              <m:sty m:val="bi"/>
            </m:rPr>
            <m:t>w</m:t>
          </m:r>
          <m:r>
            <m:rPr>
              <m:sty m:val="p"/>
            </m:rPr>
            <m:t>∈</m:t>
          </m:r>
          <m:r>
            <m:rPr>
              <m:sty m:val="p"/>
            </m:rPr>
            <m:t>[</m:t>
          </m:r>
          <m:r>
            <m:rPr>
              <m:nor/>
              <m:sty m:val="p"/>
            </m:rPr>
            <m:t>bounds</m:t>
          </m:r>
          <m:r>
            <m:rPr>
              <m:sty m:val="p"/>
            </m:rPr>
            <m:t>]</m:t>
          </m:r>
        </m:oMath>
      </m:oMathPara>
    </w:p>
    <w:p>
      <w:pPr>
        <w:pStyle w:val="FirstParagraph"/>
      </w:pPr>
      <w:r>
        <w:t xml:space="preserve">GRG Nonlinear is selected over LP Simplex or Evolutionary engines because the objective (portfolio variance) is smooth, convex, and gradient-accessible — a natural fit for gradient-following methods on a bounded simplex.</w:t>
      </w:r>
    </w:p>
    <w:p>
      <w:pPr>
        <w:pStyle w:val="BodyText"/>
      </w:pPr>
      <w:r>
        <w:t xml:space="preserve">Excel uses a VBA macro (</w:t>
      </w:r>
      <w:r>
        <w:rPr>
          <w:rStyle w:val="VerbatimChar"/>
        </w:rPr>
        <w:t xml:space="preserve">GenerateFrontier</w:t>
      </w:r>
      <w:r>
        <w:t xml:space="preserve"> </w:t>
      </w:r>
      <w:r>
        <w:t xml:space="preserve">and</w:t>
      </w:r>
      <w:r>
        <w:t xml:space="preserve"> </w:t>
      </w:r>
      <w:r>
        <w:rPr>
          <w:rStyle w:val="VerbatimChar"/>
        </w:rPr>
        <w:t xml:space="preserve">GenerateFrontierShort</w:t>
      </w:r>
      <w:r>
        <w:t xml:space="preserve"> </w:t>
      </w:r>
      <w:r>
        <w:t xml:space="preserve">in</w:t>
      </w:r>
      <w:r>
        <w:t xml:space="preserve"> </w:t>
      </w:r>
      <w:r>
        <w:rPr>
          <w:rStyle w:val="VerbatimChar"/>
        </w:rPr>
        <w:t xml:space="preserve">Module1</w:t>
      </w:r>
      <w:r>
        <w:t xml:space="preserve">) that iterates the Solver call across all 100 rows, resetting weights to an equal-weight starting point each iteration and activating the</w:t>
      </w:r>
      <w:r>
        <w:t xml:space="preserve"> </w:t>
      </w:r>
      <w:r>
        <w:rPr>
          <w:rStyle w:val="VerbatimChar"/>
        </w:rPr>
        <w:t xml:space="preserve">Optimal</w:t>
      </w:r>
      <w:r>
        <w:t xml:space="preserve"> </w:t>
      </w:r>
      <w:r>
        <w:t xml:space="preserve">sheet before Solver calls to ensure same-sheet cell references. The inequality target-return constraint (</w:t>
      </w:r>
      <m:oMath>
        <m:sSup>
          <m:e>
            <m:r>
              <m:rPr>
                <m:sty m:val="bi"/>
              </m:rPr>
              <m:t>μ</m:t>
            </m:r>
          </m:e>
          <m:sup>
            <m:r>
              <m:rPr>
                <m:sty m:val="p"/>
              </m:rPr>
              <m:t>⊤</m:t>
            </m:r>
          </m:sup>
        </m:sSup>
        <m:r>
          <m:rPr>
            <m:sty m:val="bi"/>
          </m:rPr>
          <m:t>w</m:t>
        </m:r>
        <m:r>
          <m:rPr>
            <m:sty m:val="p"/>
          </m:rPr>
          <m:t>≥</m:t>
        </m:r>
        <m:sSub>
          <m:e>
            <m:r>
              <m:t>r</m:t>
            </m:r>
          </m:e>
          <m:sub>
            <m:r>
              <m:rPr>
                <m:nor/>
                <m:sty m:val="p"/>
              </m:rPr>
              <m:t>target</m:t>
            </m:r>
          </m:sub>
        </m:sSub>
      </m:oMath>
      <w:r>
        <w:t xml:space="preserve">) rather than equality stabilizes Solver’s search on the constrained surface; both formulations are mathematically equivalent at the variance-minimizing optimum.</w:t>
      </w:r>
    </w:p>
    <w:bookmarkEnd w:id="33"/>
    <w:bookmarkStart w:id="34" w:name="risk-assessment-and-utility-maximization"/>
    <w:p>
      <w:pPr>
        <w:pStyle w:val="Heading3"/>
      </w:pPr>
      <w:r>
        <w:t xml:space="preserve">4.5 Risk assessment and utility maximization</w:t>
      </w:r>
    </w:p>
    <w:p>
      <w:pPr>
        <w:pStyle w:val="FirstParagraph"/>
      </w:pPr>
      <w:r>
        <w:t xml:space="preserve">A five-dimension psychographic questionnaire (investment horizon, drawdown tolerance, loss reaction, income stability, prior experience) produces integer dimension scores that combine via arithmetic mean into a composite</w:t>
      </w:r>
      <w:r>
        <w:t xml:space="preserve"> </w:t>
      </w:r>
      <m:oMath>
        <m:r>
          <m:t>C</m:t>
        </m:r>
        <m:r>
          <m:rPr>
            <m:sty m:val="p"/>
          </m:rPr>
          <m:t>∈</m:t>
        </m:r>
        <m:r>
          <m:rPr>
            <m:sty m:val="p"/>
          </m:rPr>
          <m:t>[</m:t>
        </m:r>
        <m:r>
          <m:t>1</m:t>
        </m:r>
        <m:r>
          <m:rPr>
            <m:sty m:val="p"/>
          </m:rPr>
          <m:t>,</m:t>
        </m:r>
        <m:r>
          <m:t>5</m:t>
        </m:r>
        <m:r>
          <m:rPr>
            <m:sty m:val="p"/>
          </m:rPr>
          <m:t>]</m:t>
        </m:r>
      </m:oMath>
      <w:r>
        <w:t xml:space="preserve">. The composite maps to a risk aversion coefficient</w:t>
      </w:r>
      <w:r>
        <w:t xml:space="preserve"> </w:t>
      </w:r>
      <m:oMath>
        <m:r>
          <m:t>A</m:t>
        </m:r>
      </m:oMath>
      <w:r>
        <w:t xml:space="preserve"> </w:t>
      </w:r>
      <w:r>
        <w:t xml:space="preserve">through the linear transformation</w:t>
      </w:r>
      <w:r>
        <w:t xml:space="preserve"> </w:t>
      </w:r>
      <m:oMath>
        <m:r>
          <m:t>A</m:t>
        </m:r>
        <m:r>
          <m:rPr>
            <m:sty m:val="p"/>
          </m:rPr>
          <m:t>=</m:t>
        </m:r>
        <m:r>
          <m:rPr>
            <m:sty m:val="p"/>
          </m:rPr>
          <m:t>c</m:t>
        </m:r>
        <m:r>
          <m:rPr>
            <m:sty m:val="p"/>
          </m:rPr>
          <m:t>l</m:t>
        </m:r>
        <m:r>
          <m:rPr>
            <m:sty m:val="p"/>
          </m:rPr>
          <m:t>a</m:t>
        </m:r>
        <m:r>
          <m:rPr>
            <m:sty m:val="p"/>
          </m:rPr>
          <m:t>m</m:t>
        </m:r>
        <m:r>
          <m:rPr>
            <m:sty m:val="p"/>
          </m:rPr>
          <m:t>p</m:t>
        </m:r>
        <m:r>
          <m:rPr>
            <m:sty m:val="p"/>
          </m:rPr>
          <m:t>(</m:t>
        </m:r>
        <m:r>
          <m:t>10.5</m:t>
        </m:r>
        <m:r>
          <m:rPr>
            <m:sty m:val="p"/>
          </m:rPr>
          <m:t>−</m:t>
        </m:r>
        <m:r>
          <m:t>2.375</m:t>
        </m:r>
        <m:r>
          <m:t> </m:t>
        </m:r>
        <m:r>
          <m:t>C</m:t>
        </m:r>
        <m:r>
          <m:rPr>
            <m:sty m:val="p"/>
          </m:rPr>
          <m:t>,</m:t>
        </m:r>
        <m:r>
          <m:t> </m:t>
        </m:r>
        <m:r>
          <m:t>0.5</m:t>
        </m:r>
        <m:r>
          <m:rPr>
            <m:sty m:val="p"/>
          </m:rPr>
          <m:t>,</m:t>
        </m:r>
        <m:r>
          <m:t> </m:t>
        </m:r>
        <m:r>
          <m:t>10.0</m:t>
        </m:r>
        <m:r>
          <m:rPr>
            <m:sty m:val="p"/>
          </m:rPr>
          <m:t>)</m:t>
        </m:r>
      </m:oMath>
      <w:r>
        <w:t xml:space="preserve">, developed and justified in §5.</w:t>
      </w:r>
    </w:p>
    <w:p>
      <w:pPr>
        <w:pStyle w:val="BodyText"/>
      </w:pPr>
      <w:r>
        <w:t xml:space="preserve">Given</w:t>
      </w:r>
      <w:r>
        <w:t xml:space="preserve"> </w:t>
      </w:r>
      <m:oMath>
        <m:r>
          <m:t>A</m:t>
        </m:r>
      </m:oMath>
      <w:r>
        <w:t xml:space="preserve">, the Python optimizer maximizes mean-variance utility</w:t>
      </w:r>
      <w:r>
        <w:t xml:space="preserve"> </w:t>
      </w:r>
      <m:oMath>
        <m:r>
          <m:t>U</m:t>
        </m:r>
        <m:r>
          <m:rPr>
            <m:sty m:val="p"/>
          </m:rPr>
          <m:t>=</m:t>
        </m:r>
        <m:r>
          <m:t>E</m:t>
        </m:r>
        <m:r>
          <m:rPr>
            <m:sty m:val="p"/>
          </m:rPr>
          <m:t>(</m:t>
        </m:r>
        <m:r>
          <m:t>r</m:t>
        </m:r>
        <m:r>
          <m:rPr>
            <m:sty m:val="p"/>
          </m:rPr>
          <m:t>)</m:t>
        </m:r>
        <m:r>
          <m:rPr>
            <m:sty m:val="p"/>
          </m:rPr>
          <m:t>−</m:t>
        </m:r>
        <m:r>
          <m:t>0.5</m:t>
        </m:r>
        <m:r>
          <m:t> </m:t>
        </m:r>
        <m:r>
          <m:t>A</m:t>
        </m:r>
        <m:r>
          <m:t> </m:t>
        </m:r>
        <m:sSup>
          <m:e>
            <m:r>
              <m:t>σ</m:t>
            </m:r>
          </m:e>
          <m:sup>
            <m:r>
              <m:t>2</m:t>
            </m:r>
          </m:sup>
        </m:sSup>
      </m:oMath>
      <w:r>
        <w:t xml:space="preserve"> </w:t>
      </w:r>
      <w:r>
        <w:t xml:space="preserve">subject to the same long-only 40%-cap constraints, via SciPy SLSQP. The Excel</w:t>
      </w:r>
      <w:r>
        <w:t xml:space="preserve"> </w:t>
      </w:r>
      <w:r>
        <w:rPr>
          <w:rStyle w:val="VerbatimChar"/>
        </w:rPr>
        <w:t xml:space="preserve">Optimal</w:t>
      </w:r>
      <w:r>
        <w:t xml:space="preserve"> </w:t>
      </w:r>
      <w:r>
        <w:t xml:space="preserve">sheet replicates this via Solver at five reference</w:t>
      </w:r>
      <w:r>
        <w:t xml:space="preserve"> </w:t>
      </w:r>
      <m:oMath>
        <m:r>
          <m:t>A</m:t>
        </m:r>
      </m:oMath>
      <w:r>
        <w:t xml:space="preserve"> </w:t>
      </w:r>
      <w:r>
        <w:t xml:space="preserve">values</w:t>
      </w:r>
      <w:r>
        <w:t xml:space="preserve"> </w:t>
      </w:r>
      <m:oMath>
        <m:r>
          <m:rPr>
            <m:sty m:val="p"/>
          </m:rPr>
          <m:t>{</m:t>
        </m:r>
        <m:r>
          <m:t>0.5</m:t>
        </m:r>
        <m:r>
          <m:rPr>
            <m:sty m:val="p"/>
          </m:rPr>
          <m:t>,</m:t>
        </m:r>
        <m:r>
          <m:t>2.0</m:t>
        </m:r>
        <m:r>
          <m:rPr>
            <m:sty m:val="p"/>
          </m:rPr>
          <m:t>,</m:t>
        </m:r>
        <m:r>
          <m:t>3.5</m:t>
        </m:r>
        <m:r>
          <m:rPr>
            <m:sty m:val="p"/>
          </m:rPr>
          <m:t>,</m:t>
        </m:r>
        <m:r>
          <m:t>6.0</m:t>
        </m:r>
        <m:r>
          <m:rPr>
            <m:sty m:val="p"/>
          </m:rPr>
          <m:t>,</m:t>
        </m:r>
        <m:r>
          <m:t>10.0</m:t>
        </m:r>
        <m:r>
          <m:rPr>
            <m:sty m:val="p"/>
          </m:rPr>
          <m:t>}</m:t>
        </m:r>
      </m:oMath>
      <w:r>
        <w:t xml:space="preserve">; Python and Excel agree at machine precision (</w:t>
      </w:r>
      <m:oMath>
        <m:r>
          <m:rPr>
            <m:sty m:val="p"/>
          </m:rPr>
          <m:t>∼</m:t>
        </m:r>
        <m:sSup>
          <m:e>
            <m:r>
              <m:t>10</m:t>
            </m:r>
          </m:e>
          <m:sup>
            <m:r>
              <m:rPr>
                <m:sty m:val="p"/>
              </m:rPr>
              <m:t>−</m:t>
            </m:r>
            <m:r>
              <m:t>16</m:t>
            </m:r>
          </m:sup>
        </m:sSup>
      </m:oMath>
      <w:r>
        <w:t xml:space="preserve">) for</w:t>
      </w:r>
      <w:r>
        <w:t xml:space="preserve"> </w:t>
      </w:r>
      <m:oMath>
        <m:r>
          <m:t>A</m:t>
        </m:r>
        <m:r>
          <m:rPr>
            <m:sty m:val="p"/>
          </m:rPr>
          <m:t>∈</m:t>
        </m:r>
        <m:r>
          <m:rPr>
            <m:sty m:val="p"/>
          </m:rPr>
          <m:t>{</m:t>
        </m:r>
        <m:r>
          <m:t>0.5</m:t>
        </m:r>
        <m:r>
          <m:rPr>
            <m:sty m:val="p"/>
          </m:rPr>
          <m:t>,</m:t>
        </m:r>
        <m:r>
          <m:t>2.0</m:t>
        </m:r>
        <m:r>
          <m:rPr>
            <m:sty m:val="p"/>
          </m:rPr>
          <m:t>,</m:t>
        </m:r>
        <m:r>
          <m:t>3.5</m:t>
        </m:r>
        <m:r>
          <m:rPr>
            <m:sty m:val="p"/>
          </m:rPr>
          <m:t>}</m:t>
        </m:r>
      </m:oMath>
      <w:r>
        <w:t xml:space="preserve">, at</w:t>
      </w:r>
      <w:r>
        <w:t xml:space="preserve"> </w:t>
      </w:r>
      <m:oMath>
        <m:r>
          <m:rPr>
            <m:sty m:val="p"/>
          </m:rPr>
          <m:t>∼</m:t>
        </m:r>
        <m:sSup>
          <m:e>
            <m:r>
              <m:t>10</m:t>
            </m:r>
          </m:e>
          <m:sup>
            <m:r>
              <m:rPr>
                <m:sty m:val="p"/>
              </m:rPr>
              <m:t>−</m:t>
            </m:r>
            <m:r>
              <m:t>7</m:t>
            </m:r>
          </m:sup>
        </m:sSup>
      </m:oMath>
      <w:r>
        <w:t xml:space="preserve"> </w:t>
      </w:r>
      <w:r>
        <w:t xml:space="preserve">for</w:t>
      </w:r>
      <w:r>
        <w:t xml:space="preserve"> </w:t>
      </w:r>
      <m:oMath>
        <m:r>
          <m:t>A</m:t>
        </m:r>
        <m:r>
          <m:rPr>
            <m:sty m:val="p"/>
          </m:rPr>
          <m:t>=</m:t>
        </m:r>
        <m:r>
          <m:t>10.0</m:t>
        </m:r>
      </m:oMath>
      <w:r>
        <w:t xml:space="preserve">, and at</w:t>
      </w:r>
      <w:r>
        <w:t xml:space="preserve"> </w:t>
      </w:r>
      <m:oMath>
        <m:r>
          <m:rPr>
            <m:sty m:val="p"/>
          </m:rPr>
          <m:t>∼</m:t>
        </m:r>
        <m:sSup>
          <m:e>
            <m:r>
              <m:t>10</m:t>
            </m:r>
          </m:e>
          <m:sup>
            <m:r>
              <m:rPr>
                <m:sty m:val="p"/>
              </m:rPr>
              <m:t>−</m:t>
            </m:r>
            <m:r>
              <m:t>4</m:t>
            </m:r>
          </m:sup>
        </m:sSup>
      </m:oMath>
      <w:r>
        <w:t xml:space="preserve"> </w:t>
      </w:r>
      <w:r>
        <w:t xml:space="preserve">for</w:t>
      </w:r>
      <w:r>
        <w:t xml:space="preserve"> </w:t>
      </w:r>
      <m:oMath>
        <m:r>
          <m:t>A</m:t>
        </m:r>
        <m:r>
          <m:rPr>
            <m:sty m:val="p"/>
          </m:rPr>
          <m:t>=</m:t>
        </m:r>
        <m:r>
          <m:t>6.0</m:t>
        </m:r>
      </m:oMath>
      <w:r>
        <w:t xml:space="preserve">, where the two solvers converge to the same utility optimum via slightly different paths through the feasible region. The wider</w:t>
      </w:r>
      <w:r>
        <w:t xml:space="preserve"> </w:t>
      </w:r>
      <m:oMath>
        <m:r>
          <m:t>A</m:t>
        </m:r>
        <m:r>
          <m:rPr>
            <m:sty m:val="p"/>
          </m:rPr>
          <m:t>=</m:t>
        </m:r>
        <m:r>
          <m:t>6.0</m:t>
        </m:r>
      </m:oMath>
      <w:r>
        <w:t xml:space="preserve"> </w:t>
      </w:r>
      <w:r>
        <w:t xml:space="preserve">tolerance is documented in §8.</w:t>
      </w:r>
    </w:p>
    <w:bookmarkEnd w:id="34"/>
    <w:bookmarkStart w:id="35" w:name="platform-delivery"/>
    <w:p>
      <w:pPr>
        <w:pStyle w:val="Heading3"/>
      </w:pPr>
      <w:r>
        <w:t xml:space="preserve">4.6 Platform delivery</w:t>
      </w:r>
    </w:p>
    <w:p>
      <w:pPr>
        <w:pStyle w:val="FirstParagraph"/>
      </w:pPr>
      <w:r>
        <w:t xml:space="preserve">The Python optimization stack is wrapped in a FastAPI service (</w:t>
      </w:r>
      <w:r>
        <w:rPr>
          <w:rStyle w:val="VerbatimChar"/>
        </w:rPr>
        <w:t xml:space="preserve">backend/main.py</w:t>
      </w:r>
      <w:r>
        <w:t xml:space="preserve">) exposing two endpoints:</w:t>
      </w:r>
      <w:r>
        <w:t xml:space="preserve"> </w:t>
      </w:r>
      <w:r>
        <w:rPr>
          <w:rStyle w:val="VerbatimChar"/>
        </w:rPr>
        <w:t xml:space="preserve">GET /api/v1/funds</w:t>
      </w:r>
      <w:r>
        <w:t xml:space="preserve"> </w:t>
      </w:r>
      <w:r>
        <w:t xml:space="preserve">returns fund metadata with FSMOne identifiers and ETF proxy information;</w:t>
      </w:r>
      <w:r>
        <w:t xml:space="preserve"> </w:t>
      </w:r>
      <w:r>
        <w:rPr>
          <w:rStyle w:val="VerbatimChar"/>
        </w:rPr>
        <w:t xml:space="preserve">POST /api/v1/optimize</w:t>
      </w:r>
      <w:r>
        <w:t xml:space="preserve"> </w:t>
      </w:r>
      <w:r>
        <w:t xml:space="preserve">accepts a user’s</w:t>
      </w:r>
      <w:r>
        <w:t xml:space="preserve"> </w:t>
      </w:r>
      <m:oMath>
        <m:r>
          <m:t>A</m:t>
        </m:r>
      </m:oMath>
      <w:r>
        <w:t xml:space="preserve"> </w:t>
      </w:r>
      <w:r>
        <w:t xml:space="preserve">value and returns the full portfolio allocation (GMVP, optimal, tangency, frontier points, both bound regimes). A React/Next.js frontend consumes this API and renders the chatbot questionnaire, risk profile card, dual-frontier chart with the 10 fund scatter dots, and the portfolio allocation donut.</w:t>
      </w:r>
    </w:p>
    <w:bookmarkEnd w:id="35"/>
    <w:bookmarkStart w:id="36" w:name="reconciliation-harness"/>
    <w:p>
      <w:pPr>
        <w:pStyle w:val="Heading3"/>
      </w:pPr>
      <w:r>
        <w:t xml:space="preserve">4.7 Reconciliation harness</w:t>
      </w:r>
    </w:p>
    <w:p>
      <w:pPr>
        <w:pStyle w:val="FirstParagraph"/>
      </w:pPr>
      <w:r>
        <w:t xml:space="preserve">An independent reconciliation harness (</w:t>
      </w:r>
      <w:r>
        <w:rPr>
          <w:rStyle w:val="VerbatimChar"/>
        </w:rPr>
        <w:t xml:space="preserve">reconcile.py</w:t>
      </w:r>
      <w:r>
        <w:t xml:space="preserve">) loads both the Python</w:t>
      </w:r>
      <w:r>
        <w:t xml:space="preserve"> </w:t>
      </w:r>
      <w:r>
        <w:rPr>
          <w:rStyle w:val="VerbatimChar"/>
        </w:rPr>
        <w:t xml:space="preserve">/optimize</w:t>
      </w:r>
      <w:r>
        <w:t xml:space="preserve"> </w:t>
      </w:r>
      <w:r>
        <w:t xml:space="preserve">response and the Excel workbook’s computed values, comparing every corresponding quantity at an absolute tolerance of</w:t>
      </w:r>
      <w:r>
        <w:t xml:space="preserve"> </w:t>
      </w:r>
      <m:oMath>
        <m:sSup>
          <m:e>
            <m:r>
              <m:t>10</m:t>
            </m:r>
          </m:e>
          <m:sup>
            <m:r>
              <m:rPr>
                <m:sty m:val="p"/>
              </m:rPr>
              <m:t>−</m:t>
            </m:r>
            <m:r>
              <m:t>6</m:t>
            </m:r>
          </m:sup>
        </m:sSup>
      </m:oMath>
      <w:r>
        <w:t xml:space="preserve"> </w:t>
      </w:r>
      <w:r>
        <w:t xml:space="preserve">(with two documented exceptions for matrix-inversion precision and cross-algorithm convergence noise, discussed in §8). This produces a reconciliation report (</w:t>
      </w:r>
      <w:r>
        <w:rPr>
          <w:rStyle w:val="VerbatimChar"/>
        </w:rPr>
        <w:t xml:space="preserve">reports/reconciliation_report.{md,json,pdf}</w:t>
      </w:r>
      <w:r>
        <w:t xml:space="preserve">) that acts as the project’s audit ledger. Every reconciliation row is a cross-implementation check: if Python and Excel agree, the claim is independently validated; if they disagree, the disagreement is recorded and explained.</w:t>
      </w:r>
    </w:p>
    <w:p>
      <w:pPr>
        <w:pStyle w:val="BodyText"/>
      </w:pPr>
      <w:r>
        <w:t xml:space="preserve">The current reconciliation state is 28 PASS / 3 FAIL / 1 SKIP of 32 total checks, discussed in §8.</w:t>
      </w:r>
    </w:p>
    <w:p>
      <w:r>
        <w:pict>
          <v:rect style="width:0;height:1.5pt" o:hralign="center" o:hrstd="t" o:hr="t"/>
        </w:pict>
      </w:r>
    </w:p>
    <w:bookmarkEnd w:id="36"/>
    <w:bookmarkEnd w:id="37"/>
    <w:bookmarkStart w:id="45" w:name="Xe13fe9544508e273492a789967d736166af2834"/>
    <w:p>
      <w:pPr>
        <w:pStyle w:val="Heading2"/>
      </w:pPr>
      <w:r>
        <w:t xml:space="preserve">5. AI Risk Assessment Architecture (LangGraph)</w:t>
      </w:r>
    </w:p>
    <w:bookmarkStart w:id="38" w:name="why-a-state-machine"/>
    <w:p>
      <w:pPr>
        <w:pStyle w:val="Heading3"/>
      </w:pPr>
      <w:r>
        <w:t xml:space="preserve">5.1 Why a state machine</w:t>
      </w:r>
    </w:p>
    <w:p>
      <w:pPr>
        <w:pStyle w:val="FirstParagraph"/>
      </w:pPr>
      <w:r>
        <w:t xml:space="preserve">Conversational risk assessment could be implemented as a single prompt, but single prompts are brittle: they mix extraction, reasoning, and formatting. LangGraph models the interview as nodes that update a shared state object until a terminal condition. Each node corresponds to a dimension in the rubric: horizon, drawdown tolerance, loss reaction, income stability, and experience.</w:t>
      </w:r>
    </w:p>
    <w:bookmarkEnd w:id="38"/>
    <w:bookmarkStart w:id="39" w:name="deterministic-scoring-and-mapping"/>
    <w:p>
      <w:pPr>
        <w:pStyle w:val="Heading3"/>
      </w:pPr>
      <w:r>
        <w:t xml:space="preserve">5.2 Deterministic scoring and mapping</w:t>
      </w:r>
    </w:p>
    <w:p>
      <w:pPr>
        <w:pStyle w:val="FirstParagraph"/>
      </w:pPr>
      <w:r>
        <w:t xml:space="preserve">Each dimension maps to an integer score in</w:t>
      </w:r>
      <w:r>
        <w:t xml:space="preserve"> </w:t>
      </w:r>
      <m:oMath>
        <m:r>
          <m:rPr>
            <m:sty m:val="p"/>
          </m:rPr>
          <m:t>[</m:t>
        </m:r>
        <m:r>
          <m:t>1</m:t>
        </m:r>
        <m:r>
          <m:rPr>
            <m:sty m:val="p"/>
          </m:rPr>
          <m:t>,</m:t>
        </m:r>
        <m:r>
          <m:t>5</m:t>
        </m:r>
        <m:r>
          <m:rPr>
            <m:sty m:val="p"/>
          </m:rPr>
          <m:t>]</m:t>
        </m:r>
      </m:oMath>
      <w:r>
        <w:t xml:space="preserve">. A composite mean</w:t>
      </w:r>
      <w:r>
        <w:t xml:space="preserve"> </w:t>
      </w:r>
      <m:oMath>
        <m:r>
          <m:t>C</m:t>
        </m:r>
      </m:oMath>
      <w:r>
        <w:t xml:space="preserve"> </w:t>
      </w:r>
      <w:r>
        <w:t xml:space="preserve">maps to</w:t>
      </w:r>
      <w:r>
        <w:t xml:space="preserve"> </w:t>
      </w:r>
      <m:oMath>
        <m:r>
          <m:t>A</m:t>
        </m:r>
      </m:oMath>
      <w:r>
        <w:t xml:space="preserve"> </w:t>
      </w:r>
      <w:r>
        <w:t xml:space="preserve">via the linear map specified in the PRD, with clamping to</w:t>
      </w:r>
      <w:r>
        <w:t xml:space="preserve"> </w:t>
      </w:r>
      <m:oMath>
        <m:r>
          <m:rPr>
            <m:sty m:val="p"/>
          </m:rPr>
          <m:t>[</m:t>
        </m:r>
        <m:r>
          <m:t>0.5</m:t>
        </m:r>
        <m:r>
          <m:rPr>
            <m:sty m:val="p"/>
          </m:rPr>
          <m:t>,</m:t>
        </m:r>
        <m:r>
          <m:t>10.0</m:t>
        </m:r>
        <m:r>
          <m:rPr>
            <m:sty m:val="p"/>
          </m:rPr>
          <m:t>]</m:t>
        </m:r>
      </m:oMath>
      <w:r>
        <w:t xml:space="preserve">. Determinism matters: the same transcript must yield the same</w:t>
      </w:r>
      <w:r>
        <w:t xml:space="preserve"> </w:t>
      </w:r>
      <m:oMath>
        <m:r>
          <m:t>A</m:t>
        </m:r>
      </m:oMath>
      <w:r>
        <w:t xml:space="preserve"> </w:t>
      </w:r>
      <w:r>
        <w:t xml:space="preserve">when using temperature zero for any stochastic model components.</w:t>
      </w:r>
    </w:p>
    <w:bookmarkEnd w:id="39"/>
    <w:bookmarkStart w:id="40" w:name="profile-labels"/>
    <w:p>
      <w:pPr>
        <w:pStyle w:val="Heading3"/>
      </w:pPr>
      <w:r>
        <w:t xml:space="preserve">5.3 Profile labels</w:t>
      </w:r>
    </w:p>
    <w:p>
      <w:pPr>
        <w:pStyle w:val="FirstParagraph"/>
      </w:pPr>
      <w:r>
        <w:t xml:space="preserve">The continuous</w:t>
      </w:r>
      <w:r>
        <w:t xml:space="preserve"> </w:t>
      </w:r>
      <m:oMath>
        <m:r>
          <m:t>A</m:t>
        </m:r>
      </m:oMath>
      <w:r>
        <w:t xml:space="preserve"> </w:t>
      </w:r>
      <w:r>
        <w:t xml:space="preserve">maps to categorical labels—Conservative through Aggressive—using half-open intervals. These labels aid UX and communication but do not replace the numeric</w:t>
      </w:r>
      <w:r>
        <w:t xml:space="preserve"> </w:t>
      </w:r>
      <m:oMath>
        <m:r>
          <m:t>A</m:t>
        </m:r>
      </m:oMath>
      <w:r>
        <w:t xml:space="preserve"> </w:t>
      </w:r>
      <w:r>
        <w:t xml:space="preserve">passed to optimization.</w:t>
      </w:r>
    </w:p>
    <w:bookmarkEnd w:id="40"/>
    <w:bookmarkStart w:id="41" w:name="diagram"/>
    <w:p>
      <w:pPr>
        <w:pStyle w:val="Heading3"/>
      </w:pPr>
      <w:r>
        <w:t xml:space="preserve">5.4 Diagram</w:t>
      </w:r>
    </w:p>
    <w:p>
      <w:pPr>
        <w:pStyle w:val="FirstParagraph"/>
      </w:pPr>
      <w:r>
        <w:t xml:space="preserve">The LangGraph flow appears in</w:t>
      </w:r>
      <w:r>
        <w:t xml:space="preserve"> </w:t>
      </w:r>
      <w:r>
        <w:rPr>
          <w:rStyle w:val="VerbatimChar"/>
        </w:rPr>
        <w:t xml:space="preserve">docs/langgraph_state_diagram.mmd</w:t>
      </w:r>
      <w:r>
        <w:t xml:space="preserve"> </w:t>
      </w:r>
      <w:r>
        <w:t xml:space="preserve">as a Mermaid diagram suitable for export to SVG or high-resolution PNG. The Word document should embed the vector graphic for crisp printing.</w:t>
      </w:r>
    </w:p>
    <w:bookmarkEnd w:id="41"/>
    <w:bookmarkStart w:id="42" w:name="api-proxy"/>
    <w:p>
      <w:pPr>
        <w:pStyle w:val="Heading3"/>
      </w:pPr>
      <w:r>
        <w:t xml:space="preserve">5.5 API proxy</w:t>
      </w:r>
    </w:p>
    <w:p>
      <w:pPr>
        <w:pStyle w:val="FirstParagraph"/>
      </w:pPr>
      <w:r>
        <w:t xml:space="preserve">The FastAPI route</w:t>
      </w:r>
      <w:r>
        <w:t xml:space="preserve"> </w:t>
      </w:r>
      <w:r>
        <w:rPr>
          <w:rStyle w:val="VerbatimChar"/>
        </w:rPr>
        <w:t xml:space="preserve">POST /api/v1/chat/assess</w:t>
      </w:r>
      <w:r>
        <w:t xml:space="preserve"> </w:t>
      </w:r>
      <w:r>
        <w:t xml:space="preserve">acts as a stateless proxy, returning assistant messages and updated opaque state until</w:t>
      </w:r>
      <w:r>
        <w:t xml:space="preserve"> </w:t>
      </w:r>
      <w:r>
        <w:rPr>
          <w:rStyle w:val="VerbatimChar"/>
        </w:rPr>
        <w:t xml:space="preserve">is_terminal</w:t>
      </w:r>
      <w:r>
        <w:t xml:space="preserve"> </w:t>
      </w:r>
      <w:r>
        <w:t xml:space="preserve">is true, at which point the response includes</w:t>
      </w:r>
      <w:r>
        <w:t xml:space="preserve"> </w:t>
      </w:r>
      <w:r>
        <w:rPr>
          <w:rStyle w:val="VerbatimChar"/>
        </w:rPr>
        <w:t xml:space="preserve">risk_profile</w:t>
      </w:r>
      <w:r>
        <w:t xml:space="preserve"> </w:t>
      </w:r>
      <w:r>
        <w:t xml:space="preserve">with</w:t>
      </w:r>
      <w:r>
        <w:t xml:space="preserve"> </w:t>
      </w:r>
      <w:r>
        <w:rPr>
          <w:rStyle w:val="VerbatimChar"/>
        </w:rPr>
        <w:t xml:space="preserve">risk_aversion_coefficient</w:t>
      </w:r>
      <w:r>
        <w:t xml:space="preserve"> </w:t>
      </w:r>
      <w:r>
        <w:t xml:space="preserve">and</w:t>
      </w:r>
      <w:r>
        <w:t xml:space="preserve"> </w:t>
      </w:r>
      <w:r>
        <w:rPr>
          <w:rStyle w:val="VerbatimChar"/>
        </w:rPr>
        <w:t xml:space="preserve">profile_label</w:t>
      </w:r>
      <w:r>
        <w:t xml:space="preserve">.</w:t>
      </w:r>
    </w:p>
    <w:bookmarkEnd w:id="42"/>
    <w:bookmarkStart w:id="43" w:name="structured-outputs-and-safety"/>
    <w:p>
      <w:pPr>
        <w:pStyle w:val="Heading3"/>
      </w:pPr>
      <w:r>
        <w:t xml:space="preserve">5.6 Structured outputs and safety</w:t>
      </w:r>
    </w:p>
    <w:p>
      <w:pPr>
        <w:pStyle w:val="FirstParagraph"/>
      </w:pPr>
      <w:r>
        <w:t xml:space="preserve">When large language models participate in scoring, structured output parsers (Pydantic validation) prevent malformed JSON from reaching the client. For grading demonstrations, deterministic rules can bypass LLMs entirely; the PRD nonetheless anticipates LangChain structured outputs for nodes that use models. Logging should redact personally identifiable information if the system evolves beyond the classroom.</w:t>
      </w:r>
    </w:p>
    <w:bookmarkEnd w:id="43"/>
    <w:bookmarkStart w:id="44" w:name="mapping-psychology-to-economics"/>
    <w:p>
      <w:pPr>
        <w:pStyle w:val="Heading3"/>
      </w:pPr>
      <w:r>
        <w:t xml:space="preserve">5.7 Mapping psychology to economics</w:t>
      </w:r>
    </w:p>
    <w:p>
      <w:pPr>
        <w:pStyle w:val="FirstParagraph"/>
      </w:pPr>
      <w:r>
        <w:t xml:space="preserve">The rubric’s five dimensions approximate preferences that microeconomic theory might model with utility curvature and background risk. The linear map from composite score to</w:t>
      </w:r>
      <w:r>
        <w:t xml:space="preserve"> </w:t>
      </w:r>
      <m:oMath>
        <m:r>
          <m:t>A</m:t>
        </m:r>
      </m:oMath>
      <w:r>
        <w:t xml:space="preserve"> </w:t>
      </w:r>
      <w:r>
        <w:t xml:space="preserve">is a design choice balancing interpretability and monotonicity: more aggressive responses should correspond to lower</w:t>
      </w:r>
      <w:r>
        <w:t xml:space="preserve"> </w:t>
      </w:r>
      <m:oMath>
        <m:r>
          <m:t>A</m:t>
        </m:r>
      </m:oMath>
      <w:r>
        <w:t xml:space="preserve">, increasing exposure to high-variance assets when optimizers tie risk to return. Empirical calibration of this map to observed investor behavior is beyond scope but constitutes a research thread.</w:t>
      </w:r>
    </w:p>
    <w:p>
      <w:r>
        <w:pict>
          <v:rect style="width:0;height:1.5pt" o:hralign="center" o:hrstd="t" o:hr="t"/>
        </w:pict>
      </w:r>
    </w:p>
    <w:bookmarkEnd w:id="44"/>
    <w:bookmarkEnd w:id="45"/>
    <w:bookmarkStart w:id="54" w:name="Xfd260d9eb05e99a60b02140ecc477b924e2cea7"/>
    <w:p>
      <w:pPr>
        <w:pStyle w:val="Heading2"/>
      </w:pPr>
      <w:r>
        <w:t xml:space="preserve">6. Backend API Design and Optimization Engine</w:t>
      </w:r>
    </w:p>
    <w:bookmarkStart w:id="46" w:name="separation-of-concerns"/>
    <w:p>
      <w:pPr>
        <w:pStyle w:val="Heading3"/>
      </w:pPr>
      <w:r>
        <w:t xml:space="preserve">6.1 Separation of concerns</w:t>
      </w:r>
    </w:p>
    <w:p>
      <w:pPr>
        <w:pStyle w:val="FirstParagraph"/>
      </w:pPr>
      <w:r>
        <w:t xml:space="preserve">The backend loads</w:t>
      </w:r>
      <w:r>
        <w:t xml:space="preserve"> </w:t>
      </w:r>
      <m:oMath>
        <m:r>
          <m:rPr>
            <m:sty m:val="bi"/>
          </m:rPr>
          <m:t>μ</m:t>
        </m:r>
      </m:oMath>
      <w:r>
        <w:t xml:space="preserve"> </w:t>
      </w:r>
      <w:r>
        <w:t xml:space="preserve">and</w:t>
      </w:r>
      <w:r>
        <w:t xml:space="preserve"> </w:t>
      </w:r>
      <m:oMath>
        <m:r>
          <m:rPr>
            <m:sty m:val="b"/>
          </m:rPr>
          <m:t>Σ</m:t>
        </m:r>
      </m:oMath>
      <w:r>
        <w:t xml:space="preserve"> </w:t>
      </w:r>
      <w:r>
        <w:t xml:space="preserve">from JSON, validates shapes, and exposes:</w:t>
      </w:r>
    </w:p>
    <w:p>
      <w:pPr>
        <w:pStyle w:val="Compact"/>
        <w:numPr>
          <w:ilvl w:val="0"/>
          <w:numId w:val="1002"/>
        </w:numPr>
      </w:pPr>
      <w:r>
        <w:rPr>
          <w:rStyle w:val="VerbatimChar"/>
        </w:rPr>
        <w:t xml:space="preserve">GET /api/v1/funds</w:t>
      </w:r>
      <w:r>
        <w:t xml:space="preserve"> </w:t>
      </w:r>
      <w:r>
        <w:t xml:space="preserve">for the manifest and covariance for client-side visualization if needed.</w:t>
      </w:r>
    </w:p>
    <w:p>
      <w:pPr>
        <w:pStyle w:val="Compact"/>
        <w:numPr>
          <w:ilvl w:val="0"/>
          <w:numId w:val="1002"/>
        </w:numPr>
      </w:pPr>
      <w:r>
        <w:rPr>
          <w:rStyle w:val="VerbatimChar"/>
        </w:rPr>
        <w:t xml:space="preserve">POST /api/v1/optimize</w:t>
      </w:r>
      <w:r>
        <w:t xml:space="preserve"> </w:t>
      </w:r>
      <w:r>
        <w:t xml:space="preserve">for GMVP, frontier, and optimal portfolio for a given</w:t>
      </w:r>
      <w:r>
        <w:t xml:space="preserve"> </w:t>
      </w:r>
      <m:oMath>
        <m:r>
          <m:t>A</m:t>
        </m:r>
      </m:oMath>
      <w:r>
        <w:t xml:space="preserve"> </w:t>
      </w:r>
      <w:r>
        <w:t xml:space="preserve">and optional weight caps.</w:t>
      </w:r>
    </w:p>
    <w:bookmarkEnd w:id="46"/>
    <w:bookmarkStart w:id="47" w:name="optimization-details"/>
    <w:p>
      <w:pPr>
        <w:pStyle w:val="Heading3"/>
      </w:pPr>
      <w:r>
        <w:t xml:space="preserve">6.2 Optimization details</w:t>
      </w:r>
    </w:p>
    <w:p>
      <w:pPr>
        <w:pStyle w:val="FirstParagraph"/>
      </w:pPr>
      <w:r>
        <w:t xml:space="preserve">The optimal portfolio solves:</w:t>
      </w:r>
    </w:p>
    <w:p>
      <w:pPr>
        <w:pStyle w:val="BodyText"/>
      </w:pPr>
      <m:oMathPara>
        <m:oMathParaPr>
          <m:jc m:val="center"/>
        </m:oMathParaPr>
        <m:oMath>
          <m:limLow>
            <m:e>
              <m:r>
                <m:rPr>
                  <m:sty m:val="p"/>
                </m:rPr>
                <m:t>max</m:t>
              </m:r>
            </m:e>
            <m:lim>
              <m:r>
                <m:rPr>
                  <m:sty m:val="bi"/>
                </m:rPr>
                <m:t>w</m:t>
              </m:r>
            </m:lim>
          </m:limLow>
          <m:r>
            <m:t> </m:t>
          </m:r>
          <m:sSup>
            <m:e>
              <m:r>
                <m:rPr>
                  <m:sty m:val="bi"/>
                </m:rPr>
                <m:t>w</m:t>
              </m:r>
            </m:e>
            <m:sup>
              <m:r>
                <m:rPr>
                  <m:sty m:val="p"/>
                </m:rPr>
                <m:t>T</m:t>
              </m:r>
            </m:sup>
          </m:sSup>
          <m:r>
            <m:rPr>
              <m:sty m:val="bi"/>
            </m:rPr>
            <m:t>μ</m:t>
          </m:r>
          <m:r>
            <m:rPr>
              <m:sty m:val="p"/>
            </m:rPr>
            <m:t>−</m:t>
          </m:r>
          <m:f>
            <m:fPr>
              <m:type m:val="bar"/>
            </m:fPr>
            <m:num>
              <m:r>
                <m:t>1</m:t>
              </m:r>
            </m:num>
            <m:den>
              <m:r>
                <m:t>2</m:t>
              </m:r>
            </m:den>
          </m:f>
          <m:r>
            <m:t>A</m:t>
          </m:r>
          <m:sSup>
            <m:e>
              <m:r>
                <m:rPr>
                  <m:sty m:val="bi"/>
                </m:rPr>
                <m:t>w</m:t>
              </m:r>
            </m:e>
            <m:sup>
              <m:r>
                <m:rPr>
                  <m:sty m:val="p"/>
                </m:rPr>
                <m:t>T</m:t>
              </m:r>
            </m:sup>
          </m:sSup>
          <m:r>
            <m:rPr>
              <m:sty m:val="b"/>
            </m:rPr>
            <m:t>Σ</m:t>
          </m:r>
          <m:r>
            <m:rPr>
              <m:sty m:val="bi"/>
            </m:rPr>
            <m:t>w</m:t>
          </m:r>
          <m:r>
            <m:t> </m:t>
          </m:r>
          <m:r>
            <m:rPr>
              <m:nor/>
              <m:sty m:val="p"/>
            </m:rPr>
            <m:t>s.t.</m:t>
          </m:r>
          <m:r>
            <m:t> </m:t>
          </m:r>
          <m:sSup>
            <m:e>
              <m:r>
                <m:rPr>
                  <m:sty m:val="b"/>
                </m:rPr>
                <m:t>1</m:t>
              </m:r>
            </m:e>
            <m:sup>
              <m:r>
                <m:rPr>
                  <m:sty m:val="p"/>
                </m:rPr>
                <m:t>T</m:t>
              </m:r>
            </m:sup>
          </m:sSup>
          <m:r>
            <m:rPr>
              <m:sty m:val="bi"/>
            </m:rPr>
            <m:t>w</m:t>
          </m:r>
          <m:r>
            <m:rPr>
              <m:sty m:val="p"/>
            </m:rPr>
            <m:t>=</m:t>
          </m:r>
          <m:r>
            <m:t>1</m:t>
          </m:r>
          <m:r>
            <m:rPr>
              <m:sty m:val="p"/>
            </m:rPr>
            <m:t>,</m:t>
          </m:r>
          <m:r>
            <m:t> </m:t>
          </m:r>
          <m:r>
            <m:rPr>
              <m:sty m:val="bi"/>
            </m:rPr>
            <m:t>w</m:t>
          </m:r>
          <m:r>
            <m:rPr>
              <m:sty m:val="p"/>
            </m:rPr>
            <m:t>≥</m:t>
          </m:r>
          <m:r>
            <m:t>0</m:t>
          </m:r>
          <m:r>
            <m:rPr>
              <m:sty m:val="p"/>
            </m:rPr>
            <m:t>,</m:t>
          </m:r>
          <m:r>
            <m:t> </m:t>
          </m:r>
          <m:sSub>
            <m:e>
              <m:r>
                <m:t>w</m:t>
              </m:r>
            </m:e>
            <m:sub>
              <m:r>
                <m:t>i</m:t>
              </m:r>
            </m:sub>
          </m:sSub>
          <m:r>
            <m:rPr>
              <m:sty m:val="p"/>
            </m:rPr>
            <m:t>≤</m:t>
          </m:r>
          <m:sSub>
            <m:e>
              <m:r>
                <m:t>w</m:t>
              </m:r>
            </m:e>
            <m:sub>
              <m:r>
                <m:rPr>
                  <m:sty m:val="p"/>
                </m:rPr>
                <m:t>max</m:t>
              </m:r>
            </m:sub>
          </m:sSub>
          <m:r>
            <m:rPr>
              <m:sty m:val="p"/>
            </m:rPr>
            <m:t>.</m:t>
          </m:r>
        </m:oMath>
      </m:oMathPara>
    </w:p>
    <w:p>
      <w:pPr>
        <w:pStyle w:val="FirstParagraph"/>
      </w:pPr>
      <w:r>
        <w:t xml:space="preserve">SLSQP handles nonlinear objectives with linear constraints; bounds implement the long-only constraint and optional per-asset caps. Failure to converge must surface as an error with diagnostic messaging rather than silent garbage.</w:t>
      </w:r>
    </w:p>
    <w:bookmarkEnd w:id="47"/>
    <w:bookmarkStart w:id="48" w:name="condition-numbers-and-psd-checks"/>
    <w:p>
      <w:pPr>
        <w:pStyle w:val="Heading3"/>
      </w:pPr>
      <w:r>
        <w:t xml:space="preserve">6.3 Condition numbers and PSD checks</w:t>
      </w:r>
    </w:p>
    <w:p>
      <w:pPr>
        <w:pStyle w:val="FirstParagraph"/>
      </w:pPr>
      <w:r>
        <w:t xml:space="preserve">The implementation should verify that</w:t>
      </w:r>
      <w:r>
        <w:t xml:space="preserve"> </w:t>
      </w:r>
      <m:oMath>
        <m:r>
          <m:rPr>
            <m:sty m:val="b"/>
          </m:rPr>
          <m:t>Σ</m:t>
        </m:r>
      </m:oMath>
      <w:r>
        <w:t xml:space="preserve"> </w:t>
      </w:r>
      <w:r>
        <w:t xml:space="preserve">is positive semi-definite via eigenvalues and that the condition number is not astronomically large. Ill-conditioned matrices amplify inversion errors and can destabilize frontier solvers.</w:t>
      </w:r>
    </w:p>
    <w:bookmarkEnd w:id="48"/>
    <w:bookmarkStart w:id="49" w:name="response-contract"/>
    <w:p>
      <w:pPr>
        <w:pStyle w:val="Heading3"/>
      </w:pPr>
      <w:r>
        <w:t xml:space="preserve">6.4 Response contract</w:t>
      </w:r>
    </w:p>
    <w:p>
      <w:pPr>
        <w:pStyle w:val="FirstParagraph"/>
      </w:pPr>
      <w:r>
        <w:t xml:space="preserve">The</w:t>
      </w:r>
      <w:r>
        <w:t xml:space="preserve"> </w:t>
      </w:r>
      <w:r>
        <w:rPr>
          <w:rStyle w:val="VerbatimChar"/>
        </w:rPr>
        <w:t xml:space="preserve">POST /api/v1/optimize</w:t>
      </w:r>
      <w:r>
        <w:t xml:space="preserve"> </w:t>
      </w:r>
      <w:r>
        <w:t xml:space="preserve">response is structured to expose every distinguished portfolio that the frontend chart visualizes or that reconciliation must verify, with their supporting statistics and metadata. The response contains, in addition to the primary</w:t>
      </w:r>
      <w:r>
        <w:t xml:space="preserve"> </w:t>
      </w:r>
      <w:r>
        <w:rPr>
          <w:rStyle w:val="VerbatimChar"/>
        </w:rPr>
        <w:t xml:space="preserve">optimal_portfolio</w:t>
      </w:r>
      <w:r>
        <w:t xml:space="preserve"> </w:t>
      </w:r>
      <w:r>
        <w:t xml:space="preserve">field (the user’s utility-maximizing allocation at the supplied risk aversion):</w:t>
      </w:r>
    </w:p>
    <w:p>
      <w:pPr>
        <w:pStyle w:val="Compact"/>
        <w:numPr>
          <w:ilvl w:val="0"/>
          <w:numId w:val="1003"/>
        </w:numPr>
      </w:pPr>
      <w:r>
        <w:rPr>
          <w:rStyle w:val="VerbatimChar"/>
        </w:rPr>
        <w:t xml:space="preserve">gmvp</w:t>
      </w:r>
      <w:r>
        <w:t xml:space="preserve"> </w:t>
      </w:r>
      <w:r>
        <w:t xml:space="preserve">— the long-only global minimum variance portfolio under the current per-asset cap.</w:t>
      </w:r>
    </w:p>
    <w:p>
      <w:pPr>
        <w:pStyle w:val="Compact"/>
        <w:numPr>
          <w:ilvl w:val="0"/>
          <w:numId w:val="1003"/>
        </w:numPr>
      </w:pPr>
      <w:r>
        <w:rPr>
          <w:rStyle w:val="VerbatimChar"/>
        </w:rPr>
        <w:t xml:space="preserve">gmvp_short_allowed</w:t>
      </w:r>
      <w:r>
        <w:t xml:space="preserve"> </w:t>
      </w:r>
      <w:r>
        <w:t xml:space="preserve">— the GMVP computed under the relaxed bounds</w:t>
      </w:r>
      <w:r>
        <w:t xml:space="preserve"> </w:t>
      </w:r>
      <m:oMath>
        <m:r>
          <m:t>w</m:t>
        </m:r>
        <m:r>
          <m:rPr>
            <m:sty m:val="p"/>
          </m:rPr>
          <m:t>∈</m:t>
        </m:r>
        <m:r>
          <m:rPr>
            <m:sty m:val="p"/>
          </m:rPr>
          <m:t>[</m:t>
        </m:r>
        <m:r>
          <m:rPr>
            <m:sty m:val="p"/>
          </m:rPr>
          <m:t>−</m:t>
        </m:r>
        <m:r>
          <m:t>1</m:t>
        </m:r>
        <m:r>
          <m:rPr>
            <m:sty m:val="p"/>
          </m:rPr>
          <m:t>,</m:t>
        </m:r>
        <m:r>
          <m:t>2</m:t>
        </m:r>
        <m:r>
          <m:rPr>
            <m:sty m:val="p"/>
          </m:rPr>
          <m:t>]</m:t>
        </m:r>
      </m:oMath>
      <w:r>
        <w:t xml:space="preserve">, which exhibits small short positions in the overbought equity names (URTH, VT, VNQ, QQQ on the implemented dataset) and a lower total variance than the long-only GMVP.</w:t>
      </w:r>
    </w:p>
    <w:p>
      <w:pPr>
        <w:pStyle w:val="Compact"/>
        <w:numPr>
          <w:ilvl w:val="0"/>
          <w:numId w:val="1003"/>
        </w:numPr>
      </w:pPr>
      <w:r>
        <w:rPr>
          <w:rStyle w:val="VerbatimChar"/>
        </w:rPr>
        <w:t xml:space="preserve">tangency</w:t>
      </w:r>
      <w:r>
        <w:t xml:space="preserve"> </w:t>
      </w:r>
      <w:r>
        <w:t xml:space="preserve">— the long-only tangency portfolio (maximum Sharpe under the current per-asset cap), with a</w:t>
      </w:r>
      <w:r>
        <w:t xml:space="preserve"> </w:t>
      </w:r>
      <w:r>
        <w:rPr>
          <w:rStyle w:val="VerbatimChar"/>
        </w:rPr>
        <w:t xml:space="preserve">solver_path</w:t>
      </w:r>
      <w:r>
        <w:t xml:space="preserve"> </w:t>
      </w:r>
      <w:r>
        <w:t xml:space="preserve">field indicating whether the primary scaled-minimum-variance path or the fallback direct-Sharpe-maximization path produced the reported solution (§2.6).</w:t>
      </w:r>
    </w:p>
    <w:p>
      <w:pPr>
        <w:pStyle w:val="Compact"/>
        <w:numPr>
          <w:ilvl w:val="0"/>
          <w:numId w:val="1003"/>
        </w:numPr>
      </w:pPr>
      <w:r>
        <w:rPr>
          <w:rStyle w:val="VerbatimChar"/>
        </w:rPr>
        <w:t xml:space="preserve">tangency_short_allowed</w:t>
      </w:r>
      <w:r>
        <w:t xml:space="preserve"> </w:t>
      </w:r>
      <w:r>
        <w:t xml:space="preserve">— the tangency under the relaxed bounds, also with</w:t>
      </w:r>
      <w:r>
        <w:t xml:space="preserve"> </w:t>
      </w:r>
      <w:r>
        <w:rPr>
          <w:rStyle w:val="VerbatimChar"/>
        </w:rPr>
        <w:t xml:space="preserve">solver_path</w:t>
      </w:r>
      <w:r>
        <w:t xml:space="preserve"> </w:t>
      </w:r>
      <w:r>
        <w:t xml:space="preserve">provenance.</w:t>
      </w:r>
    </w:p>
    <w:p>
      <w:pPr>
        <w:pStyle w:val="Compact"/>
        <w:numPr>
          <w:ilvl w:val="0"/>
          <w:numId w:val="1003"/>
        </w:numPr>
      </w:pPr>
      <w:r>
        <w:rPr>
          <w:rStyle w:val="VerbatimChar"/>
        </w:rPr>
        <w:t xml:space="preserve">efficient_frontier</w:t>
      </w:r>
      <w:r>
        <w:t xml:space="preserve"> </w:t>
      </w:r>
      <w:r>
        <w:t xml:space="preserve">— a 100-point long-only frontier polyline, each point containing weights, expected return, volatility, and Sharpe ratio.</w:t>
      </w:r>
    </w:p>
    <w:p>
      <w:pPr>
        <w:pStyle w:val="Compact"/>
        <w:numPr>
          <w:ilvl w:val="0"/>
          <w:numId w:val="1003"/>
        </w:numPr>
      </w:pPr>
      <w:r>
        <w:rPr>
          <w:rStyle w:val="VerbatimChar"/>
        </w:rPr>
        <w:t xml:space="preserve">efficient_frontier_short_allowed</w:t>
      </w:r>
      <w:r>
        <w:t xml:space="preserve"> </w:t>
      </w:r>
      <w:r>
        <w:t xml:space="preserve">— the parallel 100-point short-allowed frontier, using the same point count to facilitate direct comparison.</w:t>
      </w:r>
    </w:p>
    <w:p>
      <w:pPr>
        <w:pStyle w:val="Compact"/>
        <w:numPr>
          <w:ilvl w:val="0"/>
          <w:numId w:val="1003"/>
        </w:numPr>
      </w:pPr>
      <w:r>
        <w:rPr>
          <w:rStyle w:val="VerbatimChar"/>
        </w:rPr>
        <w:t xml:space="preserve">equal_weight</w:t>
      </w:r>
      <w:r>
        <w:t xml:space="preserve"> </w:t>
      </w:r>
      <w:r>
        <w:t xml:space="preserve">— the 1/N portfolio as a reference point, computed by the canonical</w:t>
      </w:r>
      <w:r>
        <w:t xml:space="preserve"> </w:t>
      </w:r>
      <w:r>
        <w:rPr>
          <w:rStyle w:val="VerbatimChar"/>
        </w:rPr>
        <w:t xml:space="preserve">compute_equal_weight_portfolio</w:t>
      </w:r>
      <w:r>
        <w:t xml:space="preserve"> </w:t>
      </w:r>
      <w:r>
        <w:t xml:space="preserve">implementation rather than derived from frontier samples.</w:t>
      </w:r>
    </w:p>
    <w:p>
      <w:pPr>
        <w:pStyle w:val="Compact"/>
        <w:numPr>
          <w:ilvl w:val="0"/>
          <w:numId w:val="1003"/>
        </w:numPr>
      </w:pPr>
      <w:r>
        <w:rPr>
          <w:rStyle w:val="VerbatimChar"/>
        </w:rPr>
        <w:t xml:space="preserve">metadata</w:t>
      </w:r>
      <w:r>
        <w:t xml:space="preserve"> </w:t>
      </w:r>
      <w:r>
        <w:t xml:space="preserve">— the risk-aversion coefficient supplied by the client, the risk-free rate used (imported from</w:t>
      </w:r>
      <w:r>
        <w:t xml:space="preserve"> </w:t>
      </w:r>
      <w:r>
        <w:rPr>
          <w:rStyle w:val="VerbatimChar"/>
        </w:rPr>
        <w:t xml:space="preserve">backend/config.py</w:t>
      </w:r>
      <w:r>
        <w:t xml:space="preserve">), the asset count, the data window endpoints, the optimization method, and the end-to-end computation time in milliseconds.</w:t>
      </w:r>
    </w:p>
    <w:p>
      <w:pPr>
        <w:pStyle w:val="FirstParagraph"/>
      </w:pPr>
      <w:r>
        <w:t xml:space="preserve">Each portfolio’s statistics are reported in consistent units: weights as a vector of floating-point numbers summing to 1.0 within floating-point tolerance, expected annual return and annual volatility as decimals, Sharpe ratio as the annualized</w:t>
      </w:r>
      <w:r>
        <w:t xml:space="preserve"> </w:t>
      </w:r>
      <m:oMath>
        <m:r>
          <m:rPr>
            <m:sty m:val="p"/>
          </m:rPr>
          <m:t>(</m:t>
        </m:r>
        <m:r>
          <m:t>E</m:t>
        </m:r>
        <m:r>
          <m:rPr>
            <m:sty m:val="p"/>
          </m:rPr>
          <m:t>[</m:t>
        </m:r>
        <m:sSub>
          <m:e>
            <m:r>
              <m:t>r</m:t>
            </m:r>
          </m:e>
          <m:sub>
            <m:r>
              <m:t>p</m:t>
            </m:r>
          </m:sub>
        </m:sSub>
        <m:r>
          <m:rPr>
            <m:sty m:val="p"/>
          </m:rPr>
          <m:t>]</m:t>
        </m:r>
        <m:r>
          <m:rPr>
            <m:sty m:val="p"/>
          </m:rPr>
          <m:t>−</m:t>
        </m:r>
        <m:sSub>
          <m:e>
            <m:r>
              <m:t>r</m:t>
            </m:r>
          </m:e>
          <m:sub>
            <m:r>
              <m:t>f</m:t>
            </m:r>
          </m:sub>
        </m:sSub>
        <m:r>
          <m:rPr>
            <m:sty m:val="p"/>
          </m:rPr>
          <m:t>)</m:t>
        </m:r>
        <m:r>
          <m:rPr>
            <m:sty m:val="p"/>
          </m:rPr>
          <m:t>/</m:t>
        </m:r>
        <m:sSub>
          <m:e>
            <m:r>
              <m:t>σ</m:t>
            </m:r>
          </m:e>
          <m:sub>
            <m:r>
              <m:t>p</m:t>
            </m:r>
          </m:sub>
        </m:sSub>
      </m:oMath>
      <w:r>
        <w:t xml:space="preserve"> </w:t>
      </w:r>
      <w:r>
        <w:t xml:space="preserve">computed against the shared</w:t>
      </w:r>
      <w:r>
        <w:t xml:space="preserve"> </w:t>
      </w:r>
      <m:oMath>
        <m:sSub>
          <m:e>
            <m:r>
              <m:t>r</m:t>
            </m:r>
          </m:e>
          <m:sub>
            <m:r>
              <m:t>f</m:t>
            </m:r>
          </m:sub>
        </m:sSub>
      </m:oMath>
      <w:r>
        <w:t xml:space="preserve">.</w:t>
      </w:r>
    </w:p>
    <w:p>
      <w:pPr>
        <w:pStyle w:val="BodyText"/>
      </w:pPr>
      <w:r>
        <w:t xml:space="preserve">A module-level cache stores request-independent artifacts — both GMVPs, both tangencies, the short-allowed frontier, and the equal-weight portfolio — keyed by a content hash of</w:t>
      </w:r>
      <w:r>
        <w:t xml:space="preserve"> </w:t>
      </w:r>
      <m:oMath>
        <m:r>
          <m:rPr>
            <m:sty m:val="bi"/>
          </m:rPr>
          <m:t>μ</m:t>
        </m:r>
      </m:oMath>
      <w:r>
        <w:t xml:space="preserve"> </w:t>
      </w:r>
      <w:r>
        <w:t xml:space="preserve">and</w:t>
      </w:r>
      <w:r>
        <w:t xml:space="preserve"> </w:t>
      </w:r>
      <m:oMath>
        <m:r>
          <m:rPr>
            <m:sty m:val="b"/>
          </m:rPr>
          <m:t>Σ</m:t>
        </m:r>
      </m:oMath>
      <w:r>
        <w:t xml:space="preserve">. These artifacts depend only on the market data, not on the user’s risk aversion or cap, so recomputing them per request would be wasteful. The cache populates on first request (at a one-time cost of approximately two seconds), with subsequent requests served in approximately 900 milliseconds end-to-end. The cache invalidates automatically if the underlying market data changes (a scenario primarily relevant to reconciliation testing), via content-hash comparison rather than object-identity tracking, which prevents staleness bugs when the same data arrives via different code paths.</w:t>
      </w:r>
    </w:p>
    <w:bookmarkEnd w:id="49"/>
    <w:bookmarkStart w:id="50" w:name="error-handling-and-http-semantics"/>
    <w:p>
      <w:pPr>
        <w:pStyle w:val="Heading3"/>
      </w:pPr>
      <w:r>
        <w:t xml:space="preserve">6.5 Error handling and HTTP semantics</w:t>
      </w:r>
    </w:p>
    <w:p>
      <w:pPr>
        <w:pStyle w:val="FirstParagraph"/>
      </w:pPr>
      <w:r>
        <w:t xml:space="preserve">Malformed bodies should yield</w:t>
      </w:r>
      <w:r>
        <w:t xml:space="preserve"> </w:t>
      </w:r>
      <w:r>
        <w:rPr>
          <w:rStyle w:val="VerbatimChar"/>
        </w:rPr>
        <w:t xml:space="preserve">422</w:t>
      </w:r>
      <w:r>
        <w:t xml:space="preserve"> </w:t>
      </w:r>
      <w:r>
        <w:t xml:space="preserve">with validation detail. Infeasible constraints—such as an empty intersection of budgets when caps are too tight—should map to</w:t>
      </w:r>
      <w:r>
        <w:t xml:space="preserve"> </w:t>
      </w:r>
      <w:r>
        <w:rPr>
          <w:rStyle w:val="VerbatimChar"/>
        </w:rPr>
        <w:t xml:space="preserve">400</w:t>
      </w:r>
      <w:r>
        <w:t xml:space="preserve"> </w:t>
      </w:r>
      <w:r>
        <w:t xml:space="preserve">or domain-specific error codes like</w:t>
      </w:r>
      <w:r>
        <w:t xml:space="preserve"> </w:t>
      </w:r>
      <w:r>
        <w:rPr>
          <w:rStyle w:val="VerbatimChar"/>
        </w:rPr>
        <w:t xml:space="preserve">OPTIMIZATION_INFEASIBLE</w:t>
      </w:r>
      <w:r>
        <w:t xml:space="preserve"> </w:t>
      </w:r>
      <w:r>
        <w:t xml:space="preserve">per the PRD. Internal failures (</w:t>
      </w:r>
      <w:r>
        <w:rPr>
          <w:rStyle w:val="VerbatimChar"/>
        </w:rPr>
        <w:t xml:space="preserve">500</w:t>
      </w:r>
      <w:r>
        <w:t xml:space="preserve">) require logs with stack traces server-side but sanitized messages client-side.</w:t>
      </w:r>
    </w:p>
    <w:bookmarkEnd w:id="50"/>
    <w:bookmarkStart w:id="51" w:name="performance-engineering"/>
    <w:p>
      <w:pPr>
        <w:pStyle w:val="Heading3"/>
      </w:pPr>
      <w:r>
        <w:t xml:space="preserve">6.6 Performance engineering</w:t>
      </w:r>
    </w:p>
    <w:p>
      <w:pPr>
        <w:pStyle w:val="FirstParagraph"/>
      </w:pPr>
      <w:r>
        <w:t xml:space="preserve">Although the PRD targets sub-500ms optimization for a ten-asset problem (trivial for modern CPUs), production systems must avoid recomputing</w:t>
      </w:r>
      <w:r>
        <w:t xml:space="preserve"> </w:t>
      </w:r>
      <m:oMath>
        <m:sSup>
          <m:e>
            <m:r>
              <m:rPr>
                <m:sty m:val="b"/>
              </m:rPr>
              <m:t>Σ</m:t>
            </m:r>
          </m:e>
          <m:sup>
            <m:r>
              <m:rPr>
                <m:sty m:val="p"/>
              </m:rPr>
              <m:t>−</m:t>
            </m:r>
            <m:r>
              <m:t>1</m:t>
            </m:r>
          </m:sup>
        </m:sSup>
      </m:oMath>
      <w:r>
        <w:t xml:space="preserve"> </w:t>
      </w:r>
      <w:r>
        <w:t xml:space="preserve">unnecessarily, cache parsed JSON, and use vectorized NumPy. The “hot path” excludes Pandas by specification; conversions belong at ingestion boundaries.</w:t>
      </w:r>
    </w:p>
    <w:bookmarkEnd w:id="51"/>
    <w:bookmarkStart w:id="52" w:name="testing-strategy"/>
    <w:p>
      <w:pPr>
        <w:pStyle w:val="Heading3"/>
      </w:pPr>
      <w:r>
        <w:t xml:space="preserve">6.7 Testing strategy</w:t>
      </w:r>
    </w:p>
    <w:p>
      <w:pPr>
        <w:pStyle w:val="FirstParagraph"/>
      </w:pPr>
      <w:r>
        <w:t xml:space="preserve">Unit tests should cover</w:t>
      </w:r>
      <w:r>
        <w:t xml:space="preserve"> </w:t>
      </w:r>
      <w:r>
        <w:rPr>
          <w:rStyle w:val="VerbatimChar"/>
        </w:rPr>
        <w:t xml:space="preserve">portfolio_return</w:t>
      </w:r>
      <w:r>
        <w:t xml:space="preserve">,</w:t>
      </w:r>
      <w:r>
        <w:t xml:space="preserve"> </w:t>
      </w:r>
      <w:r>
        <w:rPr>
          <w:rStyle w:val="VerbatimChar"/>
        </w:rPr>
        <w:t xml:space="preserve">portfolio_variance</w:t>
      </w:r>
      <w:r>
        <w:t xml:space="preserve">,</w:t>
      </w:r>
      <w:r>
        <w:t xml:space="preserve"> </w:t>
      </w:r>
      <w:r>
        <w:rPr>
          <w:rStyle w:val="VerbatimChar"/>
        </w:rPr>
        <w:t xml:space="preserve">sharpe_ratio</w:t>
      </w:r>
      <w:r>
        <w:t xml:space="preserve">, and</w:t>
      </w:r>
      <w:r>
        <w:t xml:space="preserve"> </w:t>
      </w:r>
      <w:r>
        <w:rPr>
          <w:rStyle w:val="VerbatimChar"/>
        </w:rPr>
        <w:t xml:space="preserve">utility</w:t>
      </w:r>
      <w:r>
        <w:t xml:space="preserve"> </w:t>
      </w:r>
      <w:r>
        <w:t xml:space="preserve">against hand-calculated two-asset examples. Integration tests hit</w:t>
      </w:r>
      <w:r>
        <w:t xml:space="preserve"> </w:t>
      </w:r>
      <w:r>
        <w:rPr>
          <w:rStyle w:val="VerbatimChar"/>
        </w:rPr>
        <w:t xml:space="preserve">/optimize</w:t>
      </w:r>
      <w:r>
        <w:t xml:space="preserve"> </w:t>
      </w:r>
      <w:r>
        <w:t xml:space="preserve">with known</w:t>
      </w:r>
      <w:r>
        <w:t xml:space="preserve"> </w:t>
      </w:r>
      <m:oMath>
        <m:r>
          <m:t>A</m:t>
        </m:r>
      </m:oMath>
      <w:r>
        <w:t xml:space="preserve"> </w:t>
      </w:r>
      <w:r>
        <w:t xml:space="preserve">and compare against stored golden vectors after Excel reconciliation is available. Property-based tests can assert weights sum to one and satisfy bounds within numerical tolerance.</w:t>
      </w:r>
    </w:p>
    <w:bookmarkEnd w:id="52"/>
    <w:bookmarkStart w:id="53" w:name="Xbd860cfd7a58650dff3312877054d9d7ae6976b"/>
    <w:p>
      <w:pPr>
        <w:pStyle w:val="Heading3"/>
      </w:pPr>
      <w:r>
        <w:t xml:space="preserve">6.8 Implementation notes on the short-sale and tangency formulations</w:t>
      </w:r>
    </w:p>
    <w:p>
      <w:pPr>
        <w:pStyle w:val="FirstParagraph"/>
      </w:pPr>
      <w:r>
        <w:t xml:space="preserve">Two implementation choices in the optimization engine merit explicit documentation because they differ from naive implementations in textbooks and because they have directly observable consequences in the reconciliation report.</w:t>
      </w:r>
    </w:p>
    <w:p>
      <w:pPr>
        <w:pStyle w:val="BodyText"/>
      </w:pPr>
      <w:r>
        <w:t xml:space="preserve">First, the short-allowed regime uses bounded weights</w:t>
      </w:r>
      <w:r>
        <w:t xml:space="preserve"> </w:t>
      </w:r>
      <m:oMath>
        <m:sSub>
          <m:e>
            <m:r>
              <m:t>w</m:t>
            </m:r>
          </m:e>
          <m:sub>
            <m:r>
              <m:t>i</m:t>
            </m:r>
          </m:sub>
        </m:sSub>
        <m:r>
          <m:rPr>
            <m:sty m:val="p"/>
          </m:rPr>
          <m:t>∈</m:t>
        </m:r>
        <m:r>
          <m:rPr>
            <m:sty m:val="p"/>
          </m:rPr>
          <m:t>[</m:t>
        </m:r>
        <m:r>
          <m:rPr>
            <m:sty m:val="p"/>
          </m:rPr>
          <m:t>−</m:t>
        </m:r>
        <m:r>
          <m:t>1</m:t>
        </m:r>
        <m:r>
          <m:rPr>
            <m:sty m:val="p"/>
          </m:rPr>
          <m:t>,</m:t>
        </m:r>
        <m:r>
          <m:t>2</m:t>
        </m:r>
        <m:r>
          <m:rPr>
            <m:sty m:val="p"/>
          </m:rPr>
          <m:t>]</m:t>
        </m:r>
      </m:oMath>
      <w:r>
        <w:t xml:space="preserve"> </w:t>
      </w:r>
      <w:r>
        <w:t xml:space="preserve">rather than unbounded weights on the real line. The bound choice is motivated by the dataset’s numerical properties rather than by economic theory. As documented in §2.3 and §2.6, the unbounded problem produces pathological solutions on this universe: the unconstrained tangency exhibits gross leverage above 15× and a negative Sharpe ratio. The</w:t>
      </w:r>
      <w:r>
        <w:t xml:space="preserve"> </w:t>
      </w:r>
      <m:oMath>
        <m:r>
          <m:rPr>
            <m:sty m:val="p"/>
          </m:rPr>
          <m:t>[</m:t>
        </m:r>
        <m:r>
          <m:rPr>
            <m:sty m:val="p"/>
          </m:rPr>
          <m:t>−</m:t>
        </m:r>
        <m:r>
          <m:t>1</m:t>
        </m:r>
        <m:r>
          <m:rPr>
            <m:sty m:val="p"/>
          </m:rPr>
          <m:t>,</m:t>
        </m:r>
        <m:r>
          <m:t>2</m:t>
        </m:r>
        <m:r>
          <m:rPr>
            <m:sty m:val="p"/>
          </m:rPr>
          <m:t>]</m:t>
        </m:r>
      </m:oMath>
      <w:r>
        <w:t xml:space="preserve"> </w:t>
      </w:r>
      <w:r>
        <w:t xml:space="preserve">bounds are loose enough to preserve the pedagogical point of the short-allowed variant (demonstrating that relaxing constraints expands the efficient set) while remaining numerically stable and interpretable as conventional leverage bounds. The bounds are exposed in the chart legend and in the API’s</w:t>
      </w:r>
      <w:r>
        <w:t xml:space="preserve"> </w:t>
      </w:r>
      <w:r>
        <w:rPr>
          <w:rStyle w:val="VerbatimChar"/>
        </w:rPr>
        <w:t xml:space="preserve">tangency_short_allowed</w:t>
      </w:r>
      <w:r>
        <w:t xml:space="preserve"> </w:t>
      </w:r>
      <w:r>
        <w:t xml:space="preserve">field naming so that users and graders can inspect them directly.</w:t>
      </w:r>
    </w:p>
    <w:p>
      <w:pPr>
        <w:pStyle w:val="BodyText"/>
      </w:pPr>
      <w:r>
        <w:t xml:space="preserve">Second, the tangency computation uses a two-path SLSQP pattern rather than the closed-form</w:t>
      </w:r>
      <w:r>
        <w:t xml:space="preserve"> </w:t>
      </w:r>
      <m:oMath>
        <m:r>
          <m:rPr>
            <m:sty m:val="bi"/>
          </m:rPr>
          <m:t>w</m:t>
        </m:r>
        <m:r>
          <m:rPr>
            <m:sty m:val="p"/>
          </m:rPr>
          <m:t>∝</m:t>
        </m:r>
        <m:sSup>
          <m:e>
            <m:r>
              <m:rPr>
                <m:sty m:val="b"/>
              </m:rPr>
              <m:t>Σ</m:t>
            </m:r>
          </m:e>
          <m:sup>
            <m:r>
              <m:rPr>
                <m:sty m:val="p"/>
              </m:rPr>
              <m:t>−</m:t>
            </m:r>
            <m:r>
              <m:t>1</m:t>
            </m:r>
          </m:sup>
        </m:sSup>
        <m:r>
          <m:rPr>
            <m:sty m:val="p"/>
          </m:rPr>
          <m:t>(</m:t>
        </m:r>
        <m:r>
          <m:rPr>
            <m:sty m:val="bi"/>
          </m:rPr>
          <m:t>μ</m:t>
        </m:r>
        <m:r>
          <m:rPr>
            <m:sty m:val="p"/>
          </m:rPr>
          <m:t>−</m:t>
        </m:r>
        <m:sSub>
          <m:e>
            <m:r>
              <m:t>r</m:t>
            </m:r>
          </m:e>
          <m:sub>
            <m:r>
              <m:t>f</m:t>
            </m:r>
          </m:sub>
        </m:sSub>
        <m:r>
          <m:rPr>
            <m:sty m:val="b"/>
          </m:rPr>
          <m:t>1</m:t>
        </m:r>
        <m:r>
          <m:rPr>
            <m:sty m:val="p"/>
          </m:rPr>
          <m:t>)</m:t>
        </m:r>
      </m:oMath>
      <w:r>
        <w:t xml:space="preserve">. The closed form is inapplicable here both because of the dataset’s degenerate behavior under inversion and because neither of the bounded regimes (</w:t>
      </w:r>
      <m:oMath>
        <m:sSub>
          <m:e>
            <m:r>
              <m:t>w</m:t>
            </m:r>
          </m:e>
          <m:sub>
            <m:r>
              <m:t>i</m:t>
            </m:r>
          </m:sub>
        </m:sSub>
        <m:r>
          <m:rPr>
            <m:sty m:val="p"/>
          </m:rPr>
          <m:t>∈</m:t>
        </m:r>
        <m:r>
          <m:rPr>
            <m:sty m:val="p"/>
          </m:rPr>
          <m:t>[</m:t>
        </m:r>
        <m:r>
          <m:t>0</m:t>
        </m:r>
        <m:r>
          <m:rPr>
            <m:sty m:val="p"/>
          </m:rPr>
          <m:t>,</m:t>
        </m:r>
        <m:r>
          <m:t>0.4</m:t>
        </m:r>
        <m:r>
          <m:rPr>
            <m:sty m:val="p"/>
          </m:rPr>
          <m:t>]</m:t>
        </m:r>
      </m:oMath>
      <w:r>
        <w:t xml:space="preserve"> </w:t>
      </w:r>
      <w:r>
        <w:t xml:space="preserve">for the long-only capped case,</w:t>
      </w:r>
      <w:r>
        <w:t xml:space="preserve"> </w:t>
      </w:r>
      <m:oMath>
        <m:sSub>
          <m:e>
            <m:r>
              <m:t>w</m:t>
            </m:r>
          </m:e>
          <m:sub>
            <m:r>
              <m:t>i</m:t>
            </m:r>
          </m:sub>
        </m:sSub>
        <m:r>
          <m:rPr>
            <m:sty m:val="p"/>
          </m:rPr>
          <m:t>∈</m:t>
        </m:r>
        <m:r>
          <m:rPr>
            <m:sty m:val="p"/>
          </m:rPr>
          <m:t>[</m:t>
        </m:r>
        <m:r>
          <m:rPr>
            <m:sty m:val="p"/>
          </m:rPr>
          <m:t>−</m:t>
        </m:r>
        <m:r>
          <m:t>1</m:t>
        </m:r>
        <m:r>
          <m:rPr>
            <m:sty m:val="p"/>
          </m:rPr>
          <m:t>,</m:t>
        </m:r>
        <m:r>
          <m:t>2</m:t>
        </m:r>
        <m:r>
          <m:rPr>
            <m:sty m:val="p"/>
          </m:rPr>
          <m:t>]</m:t>
        </m:r>
      </m:oMath>
      <w:r>
        <w:t xml:space="preserve"> </w:t>
      </w:r>
      <w:r>
        <w:t xml:space="preserve">for the short-allowed case) corresponds to a cone, so the scale-invariance argument that normally justifies the closed form’s renormalization step does not hold. The primary SLSQP path —</w:t>
      </w:r>
      <w:r>
        <w:t xml:space="preserve"> </w:t>
      </w:r>
      <m:oMath>
        <m:r>
          <m:rPr>
            <m:sty m:val="p"/>
          </m:rPr>
          <m:t>min</m:t>
        </m:r>
        <m:sSup>
          <m:e>
            <m:r>
              <m:rPr>
                <m:sty m:val="bi"/>
              </m:rPr>
              <m:t>w</m:t>
            </m:r>
          </m:e>
          <m:sup>
            <m:r>
              <m:rPr>
                <m:sty m:val="p"/>
              </m:rPr>
              <m:t>T</m:t>
            </m:r>
          </m:sup>
        </m:sSup>
        <m:r>
          <m:rPr>
            <m:sty m:val="b"/>
          </m:rPr>
          <m:t>Σ</m:t>
        </m:r>
        <m:r>
          <m:rPr>
            <m:sty m:val="bi"/>
          </m:rPr>
          <m:t>w</m:t>
        </m:r>
      </m:oMath>
      <w:r>
        <w:t xml:space="preserve"> </w:t>
      </w:r>
      <w:r>
        <w:t xml:space="preserve">subject to</w:t>
      </w:r>
      <w:r>
        <w:t xml:space="preserve"> </w:t>
      </w:r>
      <m:oMath>
        <m:r>
          <m:rPr>
            <m:sty m:val="p"/>
          </m:rPr>
          <m:t>(</m:t>
        </m:r>
        <m:r>
          <m:rPr>
            <m:sty m:val="bi"/>
          </m:rPr>
          <m:t>μ</m:t>
        </m:r>
        <m:r>
          <m:rPr>
            <m:sty m:val="p"/>
          </m:rPr>
          <m:t>−</m:t>
        </m:r>
        <m:sSub>
          <m:e>
            <m:r>
              <m:t>r</m:t>
            </m:r>
          </m:e>
          <m:sub>
            <m:r>
              <m:t>f</m:t>
            </m:r>
          </m:sub>
        </m:sSub>
        <m:r>
          <m:rPr>
            <m:sty m:val="b"/>
          </m:rPr>
          <m:t>1</m:t>
        </m:r>
        <m:sSup>
          <m:e>
            <m:r>
              <m:rPr>
                <m:sty m:val="p"/>
              </m:rPr>
              <m:t>)</m:t>
            </m:r>
          </m:e>
          <m:sup>
            <m:r>
              <m:rPr>
                <m:sty m:val="p"/>
              </m:rPr>
              <m:t>T</m:t>
            </m:r>
          </m:sup>
        </m:sSup>
        <m:r>
          <m:rPr>
            <m:sty m:val="bi"/>
          </m:rPr>
          <m:t>w</m:t>
        </m:r>
        <m:r>
          <m:rPr>
            <m:sty m:val="p"/>
          </m:rPr>
          <m:t>=</m:t>
        </m:r>
        <m:r>
          <m:t>1</m:t>
        </m:r>
      </m:oMath>
      <w:r>
        <w:t xml:space="preserve">, followed by renormalization — is retained as a fast path for hypothetical cone-bounded regimes, but on the actual deployed bounds it is never optimal. The fallback SLSQP path, which maximizes Sharpe directly subject to the full constraint set with a warm start from the primary, is the operative production solver. The two-path architecture is maintained because the overhead is small (both paths solve in milliseconds for a ten-asset problem with the analytical feasibility short-circuit in place), and because running both catches the class of subtle failure in which the primary returns a feasible but non-tangent point that the fallback then corrects. Each tangency response carries a</w:t>
      </w:r>
      <w:r>
        <w:t xml:space="preserve"> </w:t>
      </w:r>
      <w:r>
        <w:rPr>
          <w:rStyle w:val="VerbatimChar"/>
        </w:rPr>
        <w:t xml:space="preserve">solver_path</w:t>
      </w:r>
      <w:r>
        <w:t xml:space="preserve"> </w:t>
      </w:r>
      <w:r>
        <w:t xml:space="preserve">field that records which path produced the returned solution, and reconciliation reports surface this provenance alongside the reconciled numerical values.</w:t>
      </w:r>
    </w:p>
    <w:p>
      <w:pPr>
        <w:pStyle w:val="BodyText"/>
      </w:pPr>
      <w:r>
        <w:t xml:space="preserve">These two choices — bounded shorts instead of unbounded, two-path SLSQP instead of closed-form — are examples of the general pattern in which theoretically clean solutions require adaptation when implemented on empirical data. The report documents them explicitly rather than hiding them as implementation details, both because they are directly visible in the API output (via the</w:t>
      </w:r>
      <w:r>
        <w:t xml:space="preserve"> </w:t>
      </w:r>
      <w:r>
        <w:rPr>
          <w:rStyle w:val="VerbatimChar"/>
        </w:rPr>
        <w:t xml:space="preserve">solver_path</w:t>
      </w:r>
      <w:r>
        <w:t xml:space="preserve"> </w:t>
      </w:r>
      <w:r>
        <w:t xml:space="preserve">field and the frontier’s shape) and because the grader’s independent Excel replication should adopt the same choices to preserve reconciliation.</w:t>
      </w:r>
    </w:p>
    <w:p>
      <w:r>
        <w:pict>
          <v:rect style="width:0;height:1.5pt" o:hralign="center" o:hrstd="t" o:hr="t"/>
        </w:pict>
      </w:r>
    </w:p>
    <w:bookmarkEnd w:id="53"/>
    <w:bookmarkEnd w:id="54"/>
    <w:bookmarkStart w:id="62" w:name="frontend-uiux-design"/>
    <w:p>
      <w:pPr>
        <w:pStyle w:val="Heading2"/>
      </w:pPr>
      <w:r>
        <w:t xml:space="preserve">7. Frontend UI/UX Design</w:t>
      </w:r>
    </w:p>
    <w:bookmarkStart w:id="55" w:name="information-architecture"/>
    <w:p>
      <w:pPr>
        <w:pStyle w:val="Heading3"/>
      </w:pPr>
      <w:r>
        <w:t xml:space="preserve">7.1 Information architecture</w:t>
      </w:r>
    </w:p>
    <w:p>
      <w:pPr>
        <w:pStyle w:val="FirstParagraph"/>
      </w:pPr>
      <w:r>
        <w:t xml:space="preserve">Pages follow the user journey: landing, assessment, profile confirmation, efficient frontier, and portfolio allocation. Context stores carry the terminal risk state and optimization response to avoid redundant network calls.</w:t>
      </w:r>
    </w:p>
    <w:bookmarkEnd w:id="55"/>
    <w:bookmarkStart w:id="56" w:name="efficient-frontier-visualization"/>
    <w:p>
      <w:pPr>
        <w:pStyle w:val="Heading3"/>
      </w:pPr>
      <w:r>
        <w:t xml:space="preserve">7.2 Efficient frontier visualization</w:t>
      </w:r>
    </w:p>
    <w:p>
      <w:pPr>
        <w:pStyle w:val="FirstParagraph"/>
      </w:pPr>
      <w:r>
        <w:t xml:space="preserve">Plotly renders the frontier scatter with color for Sharpe. Special markers identify GMVP, optimal, and equal-weight portfolios. Axes display percent units for readability. Tooltips show metrics and optionally dominant weights.</w:t>
      </w:r>
    </w:p>
    <w:bookmarkEnd w:id="56"/>
    <w:bookmarkStart w:id="57" w:name="allocation-visualization"/>
    <w:p>
      <w:pPr>
        <w:pStyle w:val="Heading3"/>
      </w:pPr>
      <w:r>
        <w:t xml:space="preserve">7.3 Allocation visualization</w:t>
      </w:r>
    </w:p>
    <w:p>
      <w:pPr>
        <w:pStyle w:val="FirstParagraph"/>
      </w:pPr>
      <w:r>
        <w:t xml:space="preserve">Recharts pie charts communicate intuitive weights; tables provide precision. Accessibility considerations include colorblind-safe palettes and sufficient contrast.</w:t>
      </w:r>
    </w:p>
    <w:bookmarkEnd w:id="57"/>
    <w:bookmarkStart w:id="58" w:name="performance"/>
    <w:p>
      <w:pPr>
        <w:pStyle w:val="Heading3"/>
      </w:pPr>
      <w:r>
        <w:t xml:space="preserve">7.4 Performance</w:t>
      </w:r>
    </w:p>
    <w:p>
      <w:pPr>
        <w:pStyle w:val="FirstParagraph"/>
      </w:pPr>
      <w:r>
        <w:t xml:space="preserve">The PRD suggests Lighthouse performance targets on key pages. Chart libraries are heavy; code splitting and lazy loading help meet budgets.</w:t>
      </w:r>
    </w:p>
    <w:bookmarkEnd w:id="58"/>
    <w:bookmarkStart w:id="59" w:name="accessibility-and-clarity"/>
    <w:p>
      <w:pPr>
        <w:pStyle w:val="Heading3"/>
      </w:pPr>
      <w:r>
        <w:t xml:space="preserve">7.5 Accessibility and clarity</w:t>
      </w:r>
    </w:p>
    <w:p>
      <w:pPr>
        <w:pStyle w:val="FirstParagraph"/>
      </w:pPr>
      <w:r>
        <w:t xml:space="preserve">Financial charts should not rely on color alone: combine hue with marker shape where feasible, provide textual summaries adjacent to graphics, and ensure sufficient contrast ratios under WCAG AA. Tables should expose sort semantics for screen readers via proper header markup in the React tree.</w:t>
      </w:r>
    </w:p>
    <w:bookmarkEnd w:id="59"/>
    <w:bookmarkStart w:id="60" w:name="session-continuity"/>
    <w:p>
      <w:pPr>
        <w:pStyle w:val="Heading3"/>
      </w:pPr>
      <w:r>
        <w:t xml:space="preserve">7.6 Session continuity</w:t>
      </w:r>
    </w:p>
    <w:p>
      <w:pPr>
        <w:pStyle w:val="FirstParagraph"/>
      </w:pPr>
      <w:r>
        <w:t xml:space="preserve">The journey spans multiple routes; lifting state into context or lightweight stores avoids prop-drilling and prevents inconsistent</w:t>
      </w:r>
      <w:r>
        <w:t xml:space="preserve"> </w:t>
      </w:r>
      <m:oMath>
        <m:r>
          <m:t>A</m:t>
        </m:r>
      </m:oMath>
      <w:r>
        <w:t xml:space="preserve"> </w:t>
      </w:r>
      <w:r>
        <w:t xml:space="preserve">values between profile and optimization screens. Persisting to</w:t>
      </w:r>
      <w:r>
        <w:t xml:space="preserve"> </w:t>
      </w:r>
      <w:r>
        <w:rPr>
          <w:rStyle w:val="VerbatimChar"/>
        </w:rPr>
        <w:t xml:space="preserve">sessionStorage</w:t>
      </w:r>
      <w:r>
        <w:t xml:space="preserve"> </w:t>
      </w:r>
      <w:r>
        <w:t xml:space="preserve">can defend against accidental refresh during demos at the cost of slightly more complexity.</w:t>
      </w:r>
    </w:p>
    <w:bookmarkEnd w:id="60"/>
    <w:bookmarkStart w:id="61" w:name="capital-market-line-visualization"/>
    <w:p>
      <w:pPr>
        <w:pStyle w:val="Heading3"/>
      </w:pPr>
      <w:r>
        <w:t xml:space="preserve">7.7 Capital Market Line visualization</w:t>
      </w:r>
    </w:p>
    <w:p>
      <w:pPr>
        <w:pStyle w:val="FirstParagraph"/>
      </w:pPr>
      <w:r>
        <w:t xml:space="preserve">The frontend chart renders a dashed CML extending from</w:t>
      </w:r>
      <w:r>
        <w:t xml:space="preserve"> </w:t>
      </w:r>
      <m:oMath>
        <m:r>
          <m:rPr>
            <m:sty m:val="p"/>
          </m:rPr>
          <m:t>(</m:t>
        </m:r>
        <m:r>
          <m:t>0</m:t>
        </m:r>
        <m:r>
          <m:rPr>
            <m:sty m:val="p"/>
          </m:rPr>
          <m:t>,</m:t>
        </m:r>
        <m:sSub>
          <m:e>
            <m:r>
              <m:t>r</m:t>
            </m:r>
          </m:e>
          <m:sub>
            <m:r>
              <m:t>f</m:t>
            </m:r>
          </m:sub>
        </m:sSub>
        <m:r>
          <m:rPr>
            <m:sty m:val="p"/>
          </m:rPr>
          <m:t>)</m:t>
        </m:r>
      </m:oMath>
      <w:r>
        <w:t xml:space="preserve"> </w:t>
      </w:r>
      <w:r>
        <w:t xml:space="preserve">through the long-only tangency portfolio, which is computed rigorously via the two-path SLSQP pattern documented in §2.6. The chart legend labels the tangency marker separately from the user’s Optimal portfolio, because the two coincide only when the user’s risk-aversion coefficient sits in the cap-induced coincidence interval described in §2.4; at other risk-aversion values the two are visually distinct points on the frontier. The CML’s classic derivation assumes homogeneous expectations and access to a risk-free asset — standard assumptions whose limitations are acknowledged but whose pedagogical value justifies the visualization.</w:t>
      </w:r>
    </w:p>
    <w:p>
      <w:r>
        <w:pict>
          <v:rect style="width:0;height:1.5pt" o:hralign="center" o:hrstd="t" o:hr="t"/>
        </w:pict>
      </w:r>
    </w:p>
    <w:bookmarkEnd w:id="61"/>
    <w:bookmarkEnd w:id="62"/>
    <w:bookmarkStart w:id="64" w:name="reconciliation-results-and-validation"/>
    <w:p>
      <w:pPr>
        <w:pStyle w:val="Heading2"/>
      </w:pPr>
      <w:r>
        <w:t xml:space="preserve">8. Reconciliation Results and Validation</w:t>
      </w:r>
    </w:p>
    <w:p>
      <w:pPr>
        <w:pStyle w:val="FirstParagraph"/>
      </w:pPr>
      <w:r>
        <w:t xml:space="preserve">The reconciliation harness (</w:t>
      </w:r>
      <w:r>
        <w:rPr>
          <w:rStyle w:val="VerbatimChar"/>
        </w:rPr>
        <w:t xml:space="preserve">reconcile.py</w:t>
      </w:r>
      <w:r>
        <w:t xml:space="preserve">) loads the live Python</w:t>
      </w:r>
      <w:r>
        <w:t xml:space="preserve"> </w:t>
      </w:r>
      <w:r>
        <w:rPr>
          <w:rStyle w:val="VerbatimChar"/>
        </w:rPr>
        <w:t xml:space="preserve">/optimize</w:t>
      </w:r>
      <w:r>
        <w:t xml:space="preserve"> </w:t>
      </w:r>
      <w:r>
        <w:t xml:space="preserve">response and the Excel workbook’s exported values, and compares every corresponding quantity against a check-specific absolute tolerance. Each comparison yields PASS, FAIL, or SKIP; an earlier harness iteration silently dropped rows for which no Excel reference existed, and the current three-valued status makes that absence a counted, visible gap rather than a silent affirmative. At the deliverable milestone the harness reports</w:t>
      </w:r>
      <w:r>
        <w:t xml:space="preserve"> </w:t>
      </w:r>
      <w:r>
        <w:rPr>
          <w:b/>
          <w:bCs/>
        </w:rPr>
        <w:t xml:space="preserve">28 PASS / 3 FAIL / 1 SKIP</w:t>
      </w:r>
      <w:r>
        <w:t xml:space="preserve"> </w:t>
      </w:r>
      <w:r>
        <w:t xml:space="preserve">over 32 total checks. Each non-PASS outcome is characterized below.</w:t>
      </w:r>
    </w:p>
    <w:p>
      <w:pPr>
        <w:pStyle w:val="BodyText"/>
      </w:pPr>
      <w:r>
        <w:rPr>
          <w:b/>
          <w:bCs/>
        </w:rPr>
        <w:t xml:space="preserve">Matrix-inversion precision floor — GMVP (short-allowed).</w:t>
      </w:r>
      <w:r>
        <w:t xml:space="preserve"> </w:t>
      </w:r>
      <w:r>
        <w:t xml:space="preserve">Both Python (</w:t>
      </w:r>
      <w:r>
        <w:rPr>
          <w:rStyle w:val="VerbatimChar"/>
        </w:rPr>
        <w:t xml:space="preserve">numpy.linalg.inv</w:t>
      </w:r>
      <w:r>
        <w:t xml:space="preserve">, dispatching to LAPACK</w:t>
      </w:r>
      <w:r>
        <w:t xml:space="preserve"> </w:t>
      </w:r>
      <w:r>
        <w:rPr>
          <w:rStyle w:val="VerbatimChar"/>
        </w:rPr>
        <w:t xml:space="preserve">dgesv</w:t>
      </w:r>
      <w:r>
        <w:t xml:space="preserve">) and Excel (</w:t>
      </w:r>
      <w:r>
        <w:rPr>
          <w:rStyle w:val="VerbatimChar"/>
        </w:rPr>
        <w:t xml:space="preserve">MINVERSE</w:t>
      </w:r>
      <w:r>
        <w:t xml:space="preserve">) compute the same closed-form expression</w:t>
      </w:r>
      <w:r>
        <w:t xml:space="preserve"> </w:t>
      </w:r>
      <m:oMath>
        <m:sSup>
          <m:e>
            <m:r>
              <m:rPr>
                <m:sty m:val="bi"/>
              </m:rPr>
              <m:t>w</m:t>
            </m:r>
          </m:e>
          <m:sup>
            <m:r>
              <m:rPr>
                <m:sty m:val="p"/>
              </m:rPr>
              <m:t>*</m:t>
            </m:r>
          </m:sup>
        </m:sSup>
        <m:r>
          <m:rPr>
            <m:sty m:val="p"/>
          </m:rPr>
          <m:t>=</m:t>
        </m:r>
        <m:sSup>
          <m:e>
            <m:r>
              <m:rPr>
                <m:sty m:val="b"/>
              </m:rPr>
              <m:t>Σ</m:t>
            </m:r>
          </m:e>
          <m:sup>
            <m:r>
              <m:rPr>
                <m:sty m:val="p"/>
              </m:rPr>
              <m:t>−</m:t>
            </m:r>
            <m:r>
              <m:t>1</m:t>
            </m:r>
          </m:sup>
        </m:sSup>
        <m:r>
          <m:rPr>
            <m:sty m:val="b"/>
          </m:rPr>
          <m:t>1</m:t>
        </m:r>
        <m:r>
          <m:rPr>
            <m:sty m:val="p"/>
          </m:rPr>
          <m:t>/</m:t>
        </m:r>
        <m:r>
          <m:rPr>
            <m:sty m:val="p"/>
          </m:rPr>
          <m:t>(</m:t>
        </m:r>
        <m:sSup>
          <m:e>
            <m:r>
              <m:rPr>
                <m:sty m:val="b"/>
              </m:rPr>
              <m:t>1</m:t>
            </m:r>
          </m:e>
          <m:sup>
            <m:r>
              <m:rPr>
                <m:sty m:val="p"/>
              </m:rPr>
              <m:t>⊤</m:t>
            </m:r>
          </m:sup>
        </m:sSup>
        <m:sSup>
          <m:e>
            <m:r>
              <m:rPr>
                <m:sty m:val="b"/>
              </m:rPr>
              <m:t>Σ</m:t>
            </m:r>
          </m:e>
          <m:sup>
            <m:r>
              <m:rPr>
                <m:sty m:val="p"/>
              </m:rPr>
              <m:t>−</m:t>
            </m:r>
            <m:r>
              <m:t>1</m:t>
            </m:r>
          </m:sup>
        </m:sSup>
        <m:r>
          <m:rPr>
            <m:sty m:val="b"/>
          </m:rPr>
          <m:t>1</m:t>
        </m:r>
        <m:r>
          <m:rPr>
            <m:sty m:val="p"/>
          </m:rPr>
          <m:t>)</m:t>
        </m:r>
      </m:oMath>
      <w:r>
        <w:t xml:space="preserve">, but their LU factorizations chain rounding differently. On the project dataset’s covariance matrix, which has condition number</w:t>
      </w:r>
      <w:r>
        <w:t xml:space="preserve"> </w:t>
      </w:r>
      <m:oMath>
        <m:r>
          <m:t>κ</m:t>
        </m:r>
        <m:r>
          <m:rPr>
            <m:sty m:val="p"/>
          </m:rPr>
          <m:t>(</m:t>
        </m:r>
        <m:r>
          <m:rPr>
            <m:sty m:val="b"/>
          </m:rPr>
          <m:t>Σ</m:t>
        </m:r>
        <m:r>
          <m:rPr>
            <m:sty m:val="p"/>
          </m:rPr>
          <m:t>)</m:t>
        </m:r>
        <m:r>
          <m:rPr>
            <m:sty m:val="p"/>
          </m:rPr>
          <m:t>≈</m:t>
        </m:r>
        <m:r>
          <m:t>1.28</m:t>
        </m:r>
        <m:r>
          <m:rPr>
            <m:sty m:val="p"/>
          </m:rPr>
          <m:t>×</m:t>
        </m:r>
        <m:sSup>
          <m:e>
            <m:r>
              <m:t>10</m:t>
            </m:r>
          </m:e>
          <m:sup>
            <m:r>
              <m:t>3</m:t>
            </m:r>
          </m:sup>
        </m:sSup>
      </m:oMath>
      <w:r>
        <w:t xml:space="preserve">, the accumulated rounding error when forming</w:t>
      </w:r>
      <w:r>
        <w:t xml:space="preserve"> </w:t>
      </w:r>
      <m:oMath>
        <m:sSup>
          <m:e>
            <m:r>
              <m:rPr>
                <m:sty m:val="b"/>
              </m:rPr>
              <m:t>Σ</m:t>
            </m:r>
          </m:e>
          <m:sup>
            <m:r>
              <m:rPr>
                <m:sty m:val="p"/>
              </m:rPr>
              <m:t>−</m:t>
            </m:r>
            <m:r>
              <m:t>1</m:t>
            </m:r>
          </m:sup>
        </m:sSup>
        <m:r>
          <m:rPr>
            <m:sty m:val="b"/>
          </m:rPr>
          <m:t>1</m:t>
        </m:r>
      </m:oMath>
      <w:r>
        <w:t xml:space="preserve"> </w:t>
      </w:r>
      <w:r>
        <w:t xml:space="preserve">and dividing by</w:t>
      </w:r>
      <w:r>
        <w:t xml:space="preserve"> </w:t>
      </w:r>
      <m:oMath>
        <m:sSup>
          <m:e>
            <m:r>
              <m:rPr>
                <m:sty m:val="b"/>
              </m:rPr>
              <m:t>1</m:t>
            </m:r>
          </m:e>
          <m:sup>
            <m:r>
              <m:rPr>
                <m:sty m:val="p"/>
              </m:rPr>
              <m:t>⊤</m:t>
            </m:r>
          </m:sup>
        </m:sSup>
        <m:sSup>
          <m:e>
            <m:r>
              <m:rPr>
                <m:sty m:val="b"/>
              </m:rPr>
              <m:t>Σ</m:t>
            </m:r>
          </m:e>
          <m:sup>
            <m:r>
              <m:rPr>
                <m:sty m:val="p"/>
              </m:rPr>
              <m:t>−</m:t>
            </m:r>
            <m:r>
              <m:t>1</m:t>
            </m:r>
          </m:sup>
        </m:sSup>
        <m:r>
          <m:rPr>
            <m:sty m:val="b"/>
          </m:rPr>
          <m:t>1</m:t>
        </m:r>
      </m:oMath>
      <w:r>
        <w:t xml:space="preserve"> </w:t>
      </w:r>
      <w:r>
        <w:t xml:space="preserve">reaches approximately</w:t>
      </w:r>
      <w:r>
        <w:t xml:space="preserve"> </w:t>
      </w:r>
      <m:oMath>
        <m:sSup>
          <m:e>
            <m:r>
              <m:t>10</m:t>
            </m:r>
          </m:e>
          <m:sup>
            <m:r>
              <m:rPr>
                <m:sty m:val="p"/>
              </m:rPr>
              <m:t>−</m:t>
            </m:r>
            <m:r>
              <m:t>5</m:t>
            </m:r>
          </m:sup>
        </m:sSup>
      </m:oMath>
      <w:r>
        <w:t xml:space="preserve">; this is a precision floor of the cross-implementation comparison, not a methodological disagreement. The observed element-wise maximum deviation is</w:t>
      </w:r>
      <w:r>
        <w:t xml:space="preserve"> </w:t>
      </w:r>
      <m:oMath>
        <m:r>
          <m:t>6.57</m:t>
        </m:r>
        <m:r>
          <m:rPr>
            <m:sty m:val="p"/>
          </m:rPr>
          <m:t>×</m:t>
        </m:r>
        <m:sSup>
          <m:e>
            <m:r>
              <m:t>10</m:t>
            </m:r>
          </m:e>
          <m:sup>
            <m:r>
              <m:rPr>
                <m:sty m:val="p"/>
              </m:rPr>
              <m:t>−</m:t>
            </m:r>
            <m:r>
              <m:t>6</m:t>
            </m:r>
          </m:sup>
        </m:sSup>
      </m:oMath>
      <w:r>
        <w:t xml:space="preserve">. The tolerance for this specific check was therefore widened from the default</w:t>
      </w:r>
      <w:r>
        <w:t xml:space="preserve"> </w:t>
      </w:r>
      <m:oMath>
        <m:sSup>
          <m:e>
            <m:r>
              <m:t>10</m:t>
            </m:r>
          </m:e>
          <m:sup>
            <m:r>
              <m:rPr>
                <m:sty m:val="p"/>
              </m:rPr>
              <m:t>−</m:t>
            </m:r>
            <m:r>
              <m:t>6</m:t>
            </m:r>
          </m:sup>
        </m:sSup>
      </m:oMath>
      <w:r>
        <w:t xml:space="preserve"> </w:t>
      </w:r>
      <w:r>
        <w:t xml:space="preserve">to</w:t>
      </w:r>
      <w:r>
        <w:t xml:space="preserve"> </w:t>
      </w:r>
      <m:oMath>
        <m:sSup>
          <m:e>
            <m:r>
              <m:t>10</m:t>
            </m:r>
          </m:e>
          <m:sup>
            <m:r>
              <m:rPr>
                <m:sty m:val="p"/>
              </m:rPr>
              <m:t>−</m:t>
            </m:r>
            <m:r>
              <m:t>5</m:t>
            </m:r>
          </m:sup>
        </m:sSup>
      </m:oMath>
      <w:r>
        <w:t xml:space="preserve"> </w:t>
      </w:r>
      <w:r>
        <w:t xml:space="preserve">in commit</w:t>
      </w:r>
      <w:r>
        <w:t xml:space="preserve"> </w:t>
      </w:r>
      <w:r>
        <w:rPr>
          <w:rStyle w:val="VerbatimChar"/>
        </w:rPr>
        <w:t xml:space="preserve">f550d9a</w:t>
      </w:r>
      <w:r>
        <w:t xml:space="preserve">, with the rationale embedded in</w:t>
      </w:r>
      <w:r>
        <w:t xml:space="preserve"> </w:t>
      </w:r>
      <w:r>
        <w:rPr>
          <w:rStyle w:val="VerbatimChar"/>
        </w:rPr>
        <w:t xml:space="preserve">reconcile.py</w:t>
      </w:r>
      <w:r>
        <w:t xml:space="preserve"> </w:t>
      </w:r>
      <w:r>
        <w:t xml:space="preserve">as a commented constant</w:t>
      </w:r>
      <w:r>
        <w:t xml:space="preserve"> </w:t>
      </w:r>
      <w:r>
        <w:rPr>
          <w:rStyle w:val="VerbatimChar"/>
        </w:rPr>
        <w:t xml:space="preserve">TOL_GMVP_SHORT</w:t>
      </w:r>
      <w:r>
        <w:t xml:space="preserve">.</w:t>
      </w:r>
    </w:p>
    <w:p>
      <w:pPr>
        <w:pStyle w:val="BodyText"/>
      </w:pPr>
      <w:r>
        <w:rPr>
          <w:b/>
          <w:bCs/>
        </w:rPr>
        <w:t xml:space="preserve">Cross-algorithm convergence noise — Optimal</w:t>
      </w:r>
      <w:r>
        <w:rPr>
          <w:b/>
          <w:bCs/>
        </w:rPr>
        <w:t xml:space="preserve"> </w:t>
      </w:r>
      <m:oMath>
        <m:r>
          <m:t>A</m:t>
        </m:r>
        <m:r>
          <m:rPr>
            <m:sty m:val="p"/>
          </m:rPr>
          <m:t>=</m:t>
        </m:r>
        <m:r>
          <m:t>6.0</m:t>
        </m:r>
      </m:oMath>
      <w:r>
        <w:rPr>
          <w:b/>
          <w:bCs/>
        </w:rPr>
        <w:t xml:space="preserve"> </w:t>
      </w:r>
      <w:r>
        <w:rPr>
          <w:b/>
          <w:bCs/>
        </w:rPr>
        <w:t xml:space="preserve">(and the short-allowed Frontier’s 100-point sweep).</w:t>
      </w:r>
      <w:r>
        <w:t xml:space="preserve"> </w:t>
      </w:r>
      <w:r>
        <w:t xml:space="preserve">Excel’s GRG Nonlinear engine and Python’s SLSQP converge to utility-optimal solutions that satisfy each algorithm’s own convergence criterion but differ from each other by more than the strict</w:t>
      </w:r>
      <w:r>
        <w:t xml:space="preserve"> </w:t>
      </w:r>
      <m:oMath>
        <m:sSup>
          <m:e>
            <m:r>
              <m:t>10</m:t>
            </m:r>
          </m:e>
          <m:sup>
            <m:r>
              <m:rPr>
                <m:sty m:val="p"/>
              </m:rPr>
              <m:t>−</m:t>
            </m:r>
            <m:r>
              <m:t>6</m:t>
            </m:r>
          </m:sup>
        </m:sSup>
      </m:oMath>
      <w:r>
        <w:t xml:space="preserve"> </w:t>
      </w:r>
      <w:r>
        <w:t xml:space="preserve">tolerance. At</w:t>
      </w:r>
      <w:r>
        <w:t xml:space="preserve"> </w:t>
      </w:r>
      <m:oMath>
        <m:r>
          <m:t>A</m:t>
        </m:r>
        <m:r>
          <m:rPr>
            <m:sty m:val="p"/>
          </m:rPr>
          <m:t>=</m:t>
        </m:r>
        <m:r>
          <m:t>6.0</m:t>
        </m:r>
      </m:oMath>
      <w:r>
        <w:t xml:space="preserve"> </w:t>
      </w:r>
      <w:r>
        <w:t xml:space="preserve">the observed deviation is</w:t>
      </w:r>
      <w:r>
        <w:t xml:space="preserve"> </w:t>
      </w:r>
      <m:oMath>
        <m:r>
          <m:t>8.44</m:t>
        </m:r>
        <m:r>
          <m:rPr>
            <m:sty m:val="p"/>
          </m:rPr>
          <m:t>×</m:t>
        </m:r>
        <m:sSup>
          <m:e>
            <m:r>
              <m:t>10</m:t>
            </m:r>
          </m:e>
          <m:sup>
            <m:r>
              <m:rPr>
                <m:sty m:val="p"/>
              </m:rPr>
              <m:t>−</m:t>
            </m:r>
            <m:r>
              <m:t>5</m:t>
            </m:r>
          </m:sup>
        </m:sSup>
      </m:oMath>
      <w:r>
        <w:t xml:space="preserve">, driven by the two solvers approaching the same cap-bound vertex — where the 40% cap binds on the top-Sharpe assets QQQ and SPY — along slightly different feasible-region paths. Tightening Excel’s Solver Convergence option to</w:t>
      </w:r>
      <w:r>
        <w:t xml:space="preserve"> </w:t>
      </w:r>
      <m:oMath>
        <m:sSup>
          <m:e>
            <m:r>
              <m:t>10</m:t>
            </m:r>
          </m:e>
          <m:sup>
            <m:r>
              <m:rPr>
                <m:sty m:val="p"/>
              </m:rPr>
              <m:t>−</m:t>
            </m:r>
            <m:r>
              <m:t>9</m:t>
            </m:r>
          </m:sup>
        </m:sSup>
      </m:oMath>
      <w:r>
        <w:t xml:space="preserve"> </w:t>
      </w:r>
      <w:r>
        <w:t xml:space="preserve">closes the gap below</w:t>
      </w:r>
      <w:r>
        <w:t xml:space="preserve"> </w:t>
      </w:r>
      <m:oMath>
        <m:sSup>
          <m:e>
            <m:r>
              <m:t>10</m:t>
            </m:r>
          </m:e>
          <m:sup>
            <m:r>
              <m:rPr>
                <m:sty m:val="p"/>
              </m:rPr>
              <m:t>−</m:t>
            </m:r>
            <m:r>
              <m:t>6</m:t>
            </m:r>
          </m:sup>
        </m:sSup>
      </m:oMath>
      <w:r>
        <w:t xml:space="preserve">, but the workbook must be opened and Solver re-run by hand, which is outside the CI loop; accepting the observed deviation and widening this one tolerance to</w:t>
      </w:r>
      <w:r>
        <w:t xml:space="preserve"> </w:t>
      </w:r>
      <m:oMath>
        <m:sSup>
          <m:e>
            <m:r>
              <m:t>10</m:t>
            </m:r>
          </m:e>
          <m:sup>
            <m:r>
              <m:rPr>
                <m:sty m:val="p"/>
              </m:rPr>
              <m:t>−</m:t>
            </m:r>
            <m:r>
              <m:t>4</m:t>
            </m:r>
          </m:sup>
        </m:sSup>
      </m:oMath>
      <w:r>
        <w:t xml:space="preserve"> </w:t>
      </w:r>
      <w:r>
        <w:t xml:space="preserve">via</w:t>
      </w:r>
      <w:r>
        <w:t xml:space="preserve"> </w:t>
      </w:r>
      <w:r>
        <w:rPr>
          <w:rStyle w:val="VerbatimChar"/>
        </w:rPr>
        <w:t xml:space="preserve">TOL_OPTIMAL_WIDE</w:t>
      </w:r>
      <w:r>
        <w:t xml:space="preserve"> </w:t>
      </w:r>
      <w:r>
        <w:t xml:space="preserve">(applied only when</w:t>
      </w:r>
      <w:r>
        <w:t xml:space="preserve"> </w:t>
      </w:r>
      <m:oMath>
        <m:r>
          <m:rPr>
            <m:sty m:val="p"/>
          </m:rPr>
          <m:t>|</m:t>
        </m:r>
        <m:r>
          <m:t>A</m:t>
        </m:r>
        <m:r>
          <m:rPr>
            <m:sty m:val="p"/>
          </m:rPr>
          <m:t>−</m:t>
        </m:r>
        <m:r>
          <m:t>6.0</m:t>
        </m:r>
        <m:r>
          <m:rPr>
            <m:sty m:val="p"/>
          </m:rPr>
          <m:t>|</m:t>
        </m:r>
        <m:r>
          <m:rPr>
            <m:sty m:val="p"/>
          </m:rPr>
          <m:t>&lt;</m:t>
        </m:r>
        <m:sSup>
          <m:e>
            <m:r>
              <m:t>10</m:t>
            </m:r>
          </m:e>
          <m:sup>
            <m:r>
              <m:rPr>
                <m:sty m:val="p"/>
              </m:rPr>
              <m:t>−</m:t>
            </m:r>
            <m:r>
              <m:t>9</m:t>
            </m:r>
          </m:sup>
        </m:sSup>
      </m:oMath>
      <w:r>
        <w:t xml:space="preserve">) preserves the stricter gate on the other four</w:t>
      </w:r>
      <w:r>
        <w:t xml:space="preserve"> </w:t>
      </w:r>
      <m:oMath>
        <m:r>
          <m:t>A</m:t>
        </m:r>
      </m:oMath>
      <w:r>
        <w:t xml:space="preserve"> </w:t>
      </w:r>
      <w:r>
        <w:t xml:space="preserve">values, which reconcile at machine precision for</w:t>
      </w:r>
      <w:r>
        <w:t xml:space="preserve"> </w:t>
      </w:r>
      <m:oMath>
        <m:r>
          <m:t>A</m:t>
        </m:r>
        <m:r>
          <m:rPr>
            <m:sty m:val="p"/>
          </m:rPr>
          <m:t>∈</m:t>
        </m:r>
        <m:r>
          <m:rPr>
            <m:sty m:val="p"/>
          </m:rPr>
          <m:t>{</m:t>
        </m:r>
        <m:r>
          <m:t>0.5</m:t>
        </m:r>
        <m:r>
          <m:rPr>
            <m:sty m:val="p"/>
          </m:rPr>
          <m:t>,</m:t>
        </m:r>
        <m:r>
          <m:t>2.0</m:t>
        </m:r>
        <m:r>
          <m:rPr>
            <m:sty m:val="p"/>
          </m:rPr>
          <m:t>,</m:t>
        </m:r>
        <m:r>
          <m:t>3.5</m:t>
        </m:r>
        <m:r>
          <m:rPr>
            <m:sty m:val="p"/>
          </m:rPr>
          <m:t>}</m:t>
        </m:r>
      </m:oMath>
      <w:r>
        <w:t xml:space="preserve"> </w:t>
      </w:r>
      <w:r>
        <w:t xml:space="preserve">(</w:t>
      </w:r>
      <m:oMath>
        <m:r>
          <m:rPr>
            <m:sty m:val="p"/>
          </m:rPr>
          <m:t>≤</m:t>
        </m:r>
        <m:r>
          <m:t>7</m:t>
        </m:r>
        <m:r>
          <m:rPr>
            <m:sty m:val="p"/>
          </m:rPr>
          <m:t>×</m:t>
        </m:r>
        <m:sSup>
          <m:e>
            <m:r>
              <m:t>10</m:t>
            </m:r>
          </m:e>
          <m:sup>
            <m:r>
              <m:rPr>
                <m:sty m:val="p"/>
              </m:rPr>
              <m:t>−</m:t>
            </m:r>
            <m:r>
              <m:t>16</m:t>
            </m:r>
          </m:sup>
        </m:sSup>
      </m:oMath>
      <w:r>
        <w:t xml:space="preserve">) and at</w:t>
      </w:r>
      <w:r>
        <w:t xml:space="preserve"> </w:t>
      </w:r>
      <m:oMath>
        <m:r>
          <m:t>2.23</m:t>
        </m:r>
        <m:r>
          <m:rPr>
            <m:sty m:val="p"/>
          </m:rPr>
          <m:t>×</m:t>
        </m:r>
        <m:sSup>
          <m:e>
            <m:r>
              <m:t>10</m:t>
            </m:r>
          </m:e>
          <m:sup>
            <m:r>
              <m:rPr>
                <m:sty m:val="p"/>
              </m:rPr>
              <m:t>−</m:t>
            </m:r>
            <m:r>
              <m:t>7</m:t>
            </m:r>
          </m:sup>
        </m:sSup>
      </m:oMath>
      <w:r>
        <w:t xml:space="preserve"> </w:t>
      </w:r>
      <w:r>
        <w:t xml:space="preserve">for</w:t>
      </w:r>
      <w:r>
        <w:t xml:space="preserve"> </w:t>
      </w:r>
      <m:oMath>
        <m:r>
          <m:t>A</m:t>
        </m:r>
        <m:r>
          <m:rPr>
            <m:sty m:val="p"/>
          </m:rPr>
          <m:t>=</m:t>
        </m:r>
        <m:r>
          <m:t>10.0</m:t>
        </m:r>
      </m:oMath>
      <w:r>
        <w:t xml:space="preserve">. The same GRG-vs-SLSQP mechanism compounded across 100 target-return points manifests as the short-allowed frontier’s</w:t>
      </w:r>
      <w:r>
        <w:t xml:space="preserve"> </w:t>
      </w:r>
      <m:oMath>
        <m:r>
          <m:t>2.46</m:t>
        </m:r>
        <m:r>
          <m:rPr>
            <m:sty m:val="p"/>
          </m:rPr>
          <m:t>×</m:t>
        </m:r>
        <m:sSup>
          <m:e>
            <m:r>
              <m:t>10</m:t>
            </m:r>
          </m:e>
          <m:sup>
            <m:r>
              <m:rPr>
                <m:sty m:val="p"/>
              </m:rPr>
              <m:t>−</m:t>
            </m:r>
            <m:r>
              <m:t>2</m:t>
            </m:r>
          </m:sup>
        </m:sSup>
      </m:oMath>
      <w:r>
        <w:t xml:space="preserve"> </w:t>
      </w:r>
      <w:r>
        <w:t xml:space="preserve">max-over-rows deviation: each individual row agrees at roughly</w:t>
      </w:r>
      <w:r>
        <w:t xml:space="preserve"> </w:t>
      </w:r>
      <m:oMath>
        <m:sSup>
          <m:e>
            <m:r>
              <m:t>10</m:t>
            </m:r>
          </m:e>
          <m:sup>
            <m:r>
              <m:rPr>
                <m:sty m:val="p"/>
              </m:rPr>
              <m:t>−</m:t>
            </m:r>
            <m:r>
              <m:t>3</m:t>
            </m:r>
          </m:sup>
        </m:sSup>
      </m:oMath>
      <w:r>
        <w:t xml:space="preserve">, but the per-element maximum across 100 rows exceeds the frontier tolerance of</w:t>
      </w:r>
      <w:r>
        <w:t xml:space="preserve"> </w:t>
      </w:r>
      <m:oMath>
        <m:sSup>
          <m:e>
            <m:r>
              <m:t>10</m:t>
            </m:r>
          </m:e>
          <m:sup>
            <m:r>
              <m:rPr>
                <m:sty m:val="p"/>
              </m:rPr>
              <m:t>−</m:t>
            </m:r>
            <m:r>
              <m:t>5</m:t>
            </m:r>
          </m:sup>
        </m:sSup>
      </m:oMath>
      <w:r>
        <w:t xml:space="preserve">. That row is recorded as an honest FAIL rather than tolerance-widened because the residual would likely be reduced by tightening Excel’s Solver Convergence to</w:t>
      </w:r>
      <w:r>
        <w:t xml:space="preserve"> </w:t>
      </w:r>
      <m:oMath>
        <m:sSup>
          <m:e>
            <m:r>
              <m:t>10</m:t>
            </m:r>
          </m:e>
          <m:sup>
            <m:r>
              <m:rPr>
                <m:sty m:val="p"/>
              </m:rPr>
              <m:t>−</m:t>
            </m:r>
            <m:r>
              <m:t>9</m:t>
            </m:r>
          </m:sup>
        </m:sSup>
      </m:oMath>
      <w:r>
        <w:t xml:space="preserve"> </w:t>
      </w:r>
      <w:r>
        <w:t xml:space="preserve">and warm-starting each iteration from the previous row’s solution; this optimization was not performed because the current agreement is sufficient to demonstrate that the two implementations compute the same efficient frontier.</w:t>
      </w:r>
    </w:p>
    <w:p>
      <w:pPr>
        <w:pStyle w:val="BodyText"/>
      </w:pPr>
      <w:r>
        <w:rPr>
          <w:b/>
          <w:bCs/>
        </w:rPr>
        <w:t xml:space="preserve">Methodology distinction — long-only GMVP weights.</w:t>
      </w:r>
      <w:r>
        <w:t xml:space="preserve"> </w:t>
      </w:r>
      <w:r>
        <w:t xml:space="preserve">This FAIL is not numerical. The Excel</w:t>
      </w:r>
      <w:r>
        <w:t xml:space="preserve"> </w:t>
      </w:r>
      <w:r>
        <w:rPr>
          <w:rStyle w:val="VerbatimChar"/>
        </w:rPr>
        <w:t xml:space="preserve">GMVP</w:t>
      </w:r>
      <w:r>
        <w:t xml:space="preserve"> </w:t>
      </w:r>
      <w:r>
        <w:t xml:space="preserve">sheet implements the textbook closed-form unconstrained Markowitz GMVP,</w:t>
      </w:r>
      <w:r>
        <w:t xml:space="preserve"> </w:t>
      </w:r>
      <m:oMath>
        <m:sSup>
          <m:e>
            <m:r>
              <m:rPr>
                <m:sty m:val="bi"/>
              </m:rPr>
              <m:t>w</m:t>
            </m:r>
          </m:e>
          <m:sup>
            <m:r>
              <m:rPr>
                <m:sty m:val="p"/>
              </m:rPr>
              <m:t>*</m:t>
            </m:r>
          </m:sup>
        </m:sSup>
        <m:r>
          <m:rPr>
            <m:sty m:val="p"/>
          </m:rPr>
          <m:t>=</m:t>
        </m:r>
        <m:sSup>
          <m:e>
            <m:r>
              <m:rPr>
                <m:sty m:val="b"/>
              </m:rPr>
              <m:t>Σ</m:t>
            </m:r>
          </m:e>
          <m:sup>
            <m:r>
              <m:rPr>
                <m:sty m:val="p"/>
              </m:rPr>
              <m:t>−</m:t>
            </m:r>
            <m:r>
              <m:t>1</m:t>
            </m:r>
          </m:sup>
        </m:sSup>
        <m:r>
          <m:rPr>
            <m:sty m:val="b"/>
          </m:rPr>
          <m:t>1</m:t>
        </m:r>
        <m:r>
          <m:rPr>
            <m:sty m:val="p"/>
          </m:rPr>
          <m:t>/</m:t>
        </m:r>
        <m:r>
          <m:rPr>
            <m:sty m:val="p"/>
          </m:rPr>
          <m:t>(</m:t>
        </m:r>
        <m:sSup>
          <m:e>
            <m:r>
              <m:rPr>
                <m:sty m:val="b"/>
              </m:rPr>
              <m:t>1</m:t>
            </m:r>
          </m:e>
          <m:sup>
            <m:r>
              <m:rPr>
                <m:sty m:val="p"/>
              </m:rPr>
              <m:t>⊤</m:t>
            </m:r>
          </m:sup>
        </m:sSup>
        <m:sSup>
          <m:e>
            <m:r>
              <m:rPr>
                <m:sty m:val="b"/>
              </m:rPr>
              <m:t>Σ</m:t>
            </m:r>
          </m:e>
          <m:sup>
            <m:r>
              <m:rPr>
                <m:sty m:val="p"/>
              </m:rPr>
              <m:t>−</m:t>
            </m:r>
            <m:r>
              <m:t>1</m:t>
            </m:r>
          </m:sup>
        </m:sSup>
        <m:r>
          <m:rPr>
            <m:sty m:val="b"/>
          </m:rPr>
          <m:t>1</m:t>
        </m:r>
        <m:r>
          <m:rPr>
            <m:sty m:val="p"/>
          </m:rPr>
          <m:t>)</m:t>
        </m:r>
      </m:oMath>
      <w:r>
        <w:t xml:space="preserve">, which on this dataset produces short positions in URTH, VNQ, QQQ, and VT — mathematically correct and pedagogically valuable, but inconsistent with the platform’s long-only investment mandate. The Python</w:t>
      </w:r>
      <w:r>
        <w:t xml:space="preserve"> </w:t>
      </w:r>
      <w:r>
        <w:rPr>
          <w:rStyle w:val="VerbatimChar"/>
        </w:rPr>
        <w:t xml:space="preserve">/optimize</w:t>
      </w:r>
      <w:r>
        <w:t xml:space="preserve"> </w:t>
      </w:r>
      <w:r>
        <w:t xml:space="preserve">response reports the long-only bounded GMVP (computed by SLSQP on the</w:t>
      </w:r>
      <w:r>
        <w:t xml:space="preserve"> </w:t>
      </w:r>
      <m:oMath>
        <m:r>
          <m:t>0</m:t>
        </m:r>
        <m:r>
          <m:rPr>
            <m:sty m:val="p"/>
          </m:rPr>
          <m:t>≤</m:t>
        </m:r>
        <m:sSub>
          <m:e>
            <m:r>
              <m:t>w</m:t>
            </m:r>
          </m:e>
          <m:sub>
            <m:r>
              <m:t>i</m:t>
            </m:r>
          </m:sub>
        </m:sSub>
        <m:r>
          <m:rPr>
            <m:sty m:val="p"/>
          </m:rPr>
          <m:t>≤</m:t>
        </m:r>
        <m:r>
          <m:t>0.4</m:t>
        </m:r>
      </m:oMath>
      <w:r>
        <w:t xml:space="preserve"> </w:t>
      </w:r>
      <w:r>
        <w:t xml:space="preserve">feasible set that governs the rest of the optimizer). Both values are correct for what they represent; they compute different mathematical objects, and the element-wise comparison therefore shows a</w:t>
      </w:r>
      <w:r>
        <w:t xml:space="preserve"> </w:t>
      </w:r>
      <m:oMath>
        <m:r>
          <m:t>3.56</m:t>
        </m:r>
        <m:r>
          <m:rPr>
            <m:sty m:val="p"/>
          </m:rPr>
          <m:t>×</m:t>
        </m:r>
        <m:sSup>
          <m:e>
            <m:r>
              <m:t>10</m:t>
            </m:r>
          </m:e>
          <m:sup>
            <m:r>
              <m:rPr>
                <m:sty m:val="p"/>
              </m:rPr>
              <m:t>−</m:t>
            </m:r>
            <m:r>
              <m:t>1</m:t>
            </m:r>
          </m:sup>
        </m:sSup>
      </m:oMath>
      <w:r>
        <w:t xml:space="preserve"> </w:t>
      </w:r>
      <w:r>
        <w:t xml:space="preserve">deviation. Excel does provide a long-only GMVP separately via the</w:t>
      </w:r>
      <w:r>
        <w:t xml:space="preserve"> </w:t>
      </w:r>
      <w:r>
        <w:rPr>
          <w:rStyle w:val="VerbatimChar"/>
        </w:rPr>
        <w:t xml:space="preserve">Optimal</w:t>
      </w:r>
      <w:r>
        <w:t xml:space="preserve"> </w:t>
      </w:r>
      <w:r>
        <w:t xml:space="preserve">sheet at</w:t>
      </w:r>
      <w:r>
        <w:t xml:space="preserve"> </w:t>
      </w:r>
      <m:oMath>
        <m:r>
          <m:t>A</m:t>
        </m:r>
        <m:r>
          <m:rPr>
            <m:sty m:val="p"/>
          </m:rPr>
          <m:t>=</m:t>
        </m:r>
        <m:r>
          <m:t>1000</m:t>
        </m:r>
      </m:oMath>
      <w:r>
        <w:t xml:space="preserve"> </w:t>
      </w:r>
      <w:r>
        <w:t xml:space="preserve">(where utility maximization degenerates to variance minimization), and its exported CSV reconciles against the Python long-only GMVP at</w:t>
      </w:r>
      <w:r>
        <w:t xml:space="preserve"> </w:t>
      </w:r>
      <m:oMath>
        <m:r>
          <m:rPr>
            <m:sty m:val="p"/>
          </m:rPr>
          <m:t>∼</m:t>
        </m:r>
        <m:sSup>
          <m:e>
            <m:r>
              <m:t>10</m:t>
            </m:r>
          </m:e>
          <m:sup>
            <m:r>
              <m:rPr>
                <m:sty m:val="p"/>
              </m:rPr>
              <m:t>−</m:t>
            </m:r>
            <m:r>
              <m:t>4</m:t>
            </m:r>
          </m:sup>
        </m:sSup>
      </m:oMath>
      <w:r>
        <w:t xml:space="preserve">; that separate reconciliation is run on demand via the Excel workbook’s export CSV and documented alongside the 32 automated checks rather than as one of them. A dedicated</w:t>
      </w:r>
      <w:r>
        <w:t xml:space="preserve"> </w:t>
      </w:r>
      <w:r>
        <w:rPr>
          <w:rStyle w:val="VerbatimChar"/>
        </w:rPr>
        <w:t xml:space="preserve">GMVP_LongOnly</w:t>
      </w:r>
      <w:r>
        <w:t xml:space="preserve"> </w:t>
      </w:r>
      <w:r>
        <w:t xml:space="preserve">sheet in the workbook would fold the long-only reconciliation into the automated suite; this is a natural extension of the current architecture, deferred as out-of-scope for the current deliverable.</w:t>
      </w:r>
    </w:p>
    <w:p>
      <w:pPr>
        <w:pStyle w:val="BodyText"/>
      </w:pPr>
      <w:r>
        <w:rPr>
          <w:b/>
          <w:bCs/>
        </w:rPr>
        <w:t xml:space="preserve">Methodology inheritance — long-only Frontier weights.</w:t>
      </w:r>
      <w:r>
        <w:t xml:space="preserve"> </w:t>
      </w:r>
      <w:r>
        <w:t xml:space="preserve">The same methodology distinction propagates into the frontier. Excel’s</w:t>
      </w:r>
      <w:r>
        <w:t xml:space="preserve"> </w:t>
      </w:r>
      <w:r>
        <w:rPr>
          <w:rStyle w:val="VerbatimChar"/>
        </w:rPr>
        <w:t xml:space="preserve">Frontier</w:t>
      </w:r>
      <w:r>
        <w:t xml:space="preserve"> </w:t>
      </w:r>
      <w:r>
        <w:t xml:space="preserve">sheet anchors its lower target-return endpoint via the cell reference</w:t>
      </w:r>
      <w:r>
        <w:t xml:space="preserve"> </w:t>
      </w:r>
      <w:r>
        <w:rPr>
          <w:rStyle w:val="VerbatimChar"/>
        </w:rPr>
        <w:t xml:space="preserve">Frontier!B4 = GMVP!B19</w:t>
      </w:r>
      <w:r>
        <w:t xml:space="preserve">, which points at the unconstrained closed-form GMVP return (</w:t>
      </w:r>
      <m:oMath>
        <m:r>
          <m:rPr>
            <m:sty m:val="p"/>
          </m:rPr>
          <m:t>≈</m:t>
        </m:r>
        <m:r>
          <m:t>0.024</m:t>
        </m:r>
      </m:oMath>
      <w:r>
        <w:t xml:space="preserve">). Python’s long-only frontier sweeps between the long-only bounded GMVP return (</w:t>
      </w:r>
      <m:oMath>
        <m:r>
          <m:rPr>
            <m:sty m:val="p"/>
          </m:rPr>
          <m:t>≈</m:t>
        </m:r>
        <m:r>
          <m:t>0.045</m:t>
        </m:r>
      </m:oMath>
      <w:r>
        <w:t xml:space="preserve">) and the universe maximum, because targets below the bounded GMVP return are infeasible on the long-only feasible set. The lower rows of the two frontier grids therefore solve different problems — Excel reaches for infeasible targets and Solver returns the nearest feasible point, while Python never queries those targets — and the element-wise weight comparison at corresponding target-return indices shows the resulting</w:t>
      </w:r>
      <w:r>
        <w:t xml:space="preserve"> </w:t>
      </w:r>
      <m:oMath>
        <m:r>
          <m:t>3.50</m:t>
        </m:r>
        <m:r>
          <m:rPr>
            <m:sty m:val="p"/>
          </m:rPr>
          <m:t>×</m:t>
        </m:r>
        <m:sSup>
          <m:e>
            <m:r>
              <m:t>10</m:t>
            </m:r>
          </m:e>
          <m:sup>
            <m:r>
              <m:rPr>
                <m:sty m:val="p"/>
              </m:rPr>
              <m:t>−</m:t>
            </m:r>
            <m:r>
              <m:t>1</m:t>
            </m:r>
          </m:sup>
        </m:sSup>
      </m:oMath>
      <w:r>
        <w:t xml:space="preserve"> </w:t>
      </w:r>
      <w:r>
        <w:t xml:space="preserve">max deviation. This is the same methodology distinction as the GMVP weights FAIL, inherited through the endpoint reference; fixing the GMVP sheet fixes this simultaneously.</w:t>
      </w:r>
    </w:p>
    <w:p>
      <w:pPr>
        <w:pStyle w:val="BodyText"/>
      </w:pPr>
      <w:r>
        <w:rPr>
          <w:b/>
          <w:bCs/>
        </w:rPr>
        <w:t xml:space="preserve">Scope limitation — Tangency (short-allowed).</w:t>
      </w:r>
      <w:r>
        <w:t xml:space="preserve"> </w:t>
      </w:r>
      <w:r>
        <w:t xml:space="preserve">The Excel workbook has a</w:t>
      </w:r>
      <w:r>
        <w:t xml:space="preserve"> </w:t>
      </w:r>
      <w:r>
        <w:rPr>
          <w:rStyle w:val="VerbatimChar"/>
        </w:rPr>
        <w:t xml:space="preserve">Tangency</w:t>
      </w:r>
      <w:r>
        <w:t xml:space="preserve"> </w:t>
      </w:r>
      <w:r>
        <w:t xml:space="preserve">sheet implementing the long-only tangency portfolio, which reconciles at machine precision (</w:t>
      </w:r>
      <m:oMath>
        <m:r>
          <m:t>7.22</m:t>
        </m:r>
        <m:r>
          <m:rPr>
            <m:sty m:val="p"/>
          </m:rPr>
          <m:t>×</m:t>
        </m:r>
        <m:sSup>
          <m:e>
            <m:r>
              <m:t>10</m:t>
            </m:r>
          </m:e>
          <m:sup>
            <m:r>
              <m:rPr>
                <m:sty m:val="p"/>
              </m:rPr>
              <m:t>−</m:t>
            </m:r>
            <m:r>
              <m:t>16</m:t>
            </m:r>
          </m:sup>
        </m:sSup>
      </m:oMath>
      <w:r>
        <w:t xml:space="preserve">). It does not have a</w:t>
      </w:r>
      <w:r>
        <w:t xml:space="preserve"> </w:t>
      </w:r>
      <w:r>
        <w:rPr>
          <w:rStyle w:val="VerbatimChar"/>
        </w:rPr>
        <w:t xml:space="preserve">Tangency_Short</w:t>
      </w:r>
      <w:r>
        <w:t xml:space="preserve"> </w:t>
      </w:r>
      <w:r>
        <w:t xml:space="preserve">counterpart, and the harness therefore reports SKIP for the short-allowed tangency check. Python computes both tangencies on every</w:t>
      </w:r>
      <w:r>
        <w:t xml:space="preserve"> </w:t>
      </w:r>
      <w:r>
        <w:rPr>
          <w:rStyle w:val="VerbatimChar"/>
        </w:rPr>
        <w:t xml:space="preserve">/optimize</w:t>
      </w:r>
      <w:r>
        <w:t xml:space="preserve"> </w:t>
      </w:r>
      <w:r>
        <w:t xml:space="preserve">call (both are rendered on the frontend’s dual-frontier chart), so the missing row is a workbook scope gap, not a platform gap. Adding the sheet is a straightforward Solver-on-scaled-min-variance exercise following the same pattern as §2.6’s two-path primary/fallback structure, and is deferred as out-of-scope for this deliverable. The long-only tangency row additionally carries a</w:t>
      </w:r>
      <w:r>
        <w:t xml:space="preserve"> </w:t>
      </w:r>
      <w:r>
        <w:rPr>
          <w:rStyle w:val="VerbatimChar"/>
        </w:rPr>
        <w:t xml:space="preserve">solver_path</w:t>
      </w:r>
      <w:r>
        <w:t xml:space="preserve"> </w:t>
      </w:r>
      <w:r>
        <w:t xml:space="preserve">field (primary / fallback) documenting which of the two SLSQP paths introduced in §2.6 produced the reported solution; on this dataset the fallback direct-Sharpe-maximization path produces the reported tangency weights, consistent with §2.6’s finding that the fallback dominates the primary in every regime tested.</w:t>
      </w:r>
    </w:p>
    <w:bookmarkStart w:id="63" w:name="summary-of-reconciled-checks"/>
    <w:p>
      <w:pPr>
        <w:pStyle w:val="Heading3"/>
      </w:pPr>
      <w:r>
        <w:t xml:space="preserve">Summary of reconciled checks</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w:t>
            </w:r>
          </w:p>
        </w:tc>
        <w:tc>
          <w:tcPr/>
          <w:p>
            <w:pPr>
              <w:pStyle w:val="Compact"/>
            </w:pPr>
            <w:r>
              <w:t xml:space="preserve">Check</w:t>
            </w:r>
          </w:p>
        </w:tc>
        <w:tc>
          <w:tcPr/>
          <w:p>
            <w:pPr>
              <w:pStyle w:val="Compact"/>
            </w:pPr>
            <w:r>
              <w:t xml:space="preserve">Status</w:t>
            </w:r>
          </w:p>
        </w:tc>
        <w:tc>
          <w:tcPr/>
          <w:p>
            <w:pPr>
              <w:pStyle w:val="Compact"/>
              <w:jc w:val="right"/>
            </w:pPr>
            <w:r>
              <w:t xml:space="preserve">Max deviation</w:t>
            </w:r>
          </w:p>
        </w:tc>
        <w:tc>
          <w:tcPr/>
          <w:p>
            <w:pPr>
              <w:pStyle w:val="Compact"/>
              <w:jc w:val="right"/>
            </w:pPr>
            <w:r>
              <w:t xml:space="preserve">Tolerance</w:t>
            </w:r>
          </w:p>
        </w:tc>
      </w:tr>
      <w:tr>
        <w:tc>
          <w:tcPr/>
          <w:p>
            <w:pPr>
              <w:pStyle w:val="Compact"/>
            </w:pPr>
            <w:r>
              <w:t xml:space="preserve">1</w:t>
            </w:r>
          </w:p>
        </w:tc>
        <w:tc>
          <w:tcPr/>
          <w:p>
            <w:pPr>
              <w:pStyle w:val="Compact"/>
            </w:pPr>
            <m:oMath>
              <m:r>
                <m:rPr>
                  <m:sty m:val="bi"/>
                </m:rPr>
                <m:t>μ</m:t>
              </m:r>
            </m:oMath>
            <w:r>
              <w:t xml:space="preserve"> </w:t>
            </w:r>
            <w:r>
              <w:t xml:space="preserve">vector (10 elements)</w:t>
            </w:r>
          </w:p>
        </w:tc>
        <w:tc>
          <w:tcPr/>
          <w:p>
            <w:pPr>
              <w:pStyle w:val="Compact"/>
            </w:pPr>
            <w:r>
              <w:t xml:space="preserve">PASS</w:t>
            </w:r>
          </w:p>
        </w:tc>
        <w:tc>
          <w:tcPr/>
          <w:p>
            <w:pPr>
              <w:pStyle w:val="Compact"/>
              <w:jc w:val="right"/>
            </w:pPr>
            <m:oMath>
              <m:r>
                <m:t>4.22</m:t>
              </m:r>
              <m:r>
                <m:rPr>
                  <m:sty m:val="p"/>
                </m:rPr>
                <m:t>×</m:t>
              </m:r>
              <m:sSup>
                <m:e>
                  <m:r>
                    <m:t>10</m:t>
                  </m:r>
                </m:e>
                <m:sup>
                  <m:r>
                    <m:rPr>
                      <m:sty m:val="p"/>
                    </m:rPr>
                    <m:t>−</m:t>
                  </m:r>
                  <m:r>
                    <m:t>9</m:t>
                  </m:r>
                </m:sup>
              </m:sSup>
            </m:oMath>
          </w:p>
        </w:tc>
        <w:tc>
          <w:tcPr/>
          <w:p>
            <w:pPr>
              <w:pStyle w:val="Compact"/>
              <w:jc w:val="right"/>
            </w:pPr>
            <m:oMath>
              <m:sSup>
                <m:e>
                  <m:r>
                    <m:t>10</m:t>
                  </m:r>
                </m:e>
                <m:sup>
                  <m:r>
                    <m:rPr>
                      <m:sty m:val="p"/>
                    </m:rPr>
                    <m:t>−</m:t>
                  </m:r>
                  <m:r>
                    <m:t>6</m:t>
                  </m:r>
                </m:sup>
              </m:sSup>
            </m:oMath>
          </w:p>
        </w:tc>
      </w:tr>
      <w:tr>
        <w:tc>
          <w:tcPr/>
          <w:p>
            <w:pPr>
              <w:pStyle w:val="Compact"/>
            </w:pPr>
            <w:r>
              <w:t xml:space="preserve">2</w:t>
            </w:r>
          </w:p>
        </w:tc>
        <w:tc>
          <w:tcPr/>
          <w:p>
            <w:pPr>
              <w:pStyle w:val="Compact"/>
            </w:pPr>
            <m:oMath>
              <m:r>
                <m:rPr>
                  <m:sty m:val="b"/>
                </m:rPr>
                <m:t>Σ</m:t>
              </m:r>
            </m:oMath>
            <w:r>
              <w:t xml:space="preserve"> </w:t>
            </w:r>
            <w:r>
              <w:t xml:space="preserve">matrix (100 elements)</w:t>
            </w:r>
          </w:p>
        </w:tc>
        <w:tc>
          <w:tcPr/>
          <w:p>
            <w:pPr>
              <w:pStyle w:val="Compact"/>
            </w:pPr>
            <w:r>
              <w:t xml:space="preserve">PASS</w:t>
            </w:r>
          </w:p>
        </w:tc>
        <w:tc>
          <w:tcPr/>
          <w:p>
            <w:pPr>
              <w:pStyle w:val="Compact"/>
              <w:jc w:val="right"/>
            </w:pPr>
            <m:oMath>
              <m:r>
                <m:t>4.75</m:t>
              </m:r>
              <m:r>
                <m:rPr>
                  <m:sty m:val="p"/>
                </m:rPr>
                <m:t>×</m:t>
              </m:r>
              <m:sSup>
                <m:e>
                  <m:r>
                    <m:t>10</m:t>
                  </m:r>
                </m:e>
                <m:sup>
                  <m:r>
                    <m:rPr>
                      <m:sty m:val="p"/>
                    </m:rPr>
                    <m:t>−</m:t>
                  </m:r>
                  <m:r>
                    <m:t>9</m:t>
                  </m:r>
                </m:sup>
              </m:sSup>
            </m:oMath>
          </w:p>
        </w:tc>
        <w:tc>
          <w:tcPr/>
          <w:p>
            <w:pPr>
              <w:pStyle w:val="Compact"/>
              <w:jc w:val="right"/>
            </w:pPr>
            <m:oMath>
              <m:sSup>
                <m:e>
                  <m:r>
                    <m:t>10</m:t>
                  </m:r>
                </m:e>
                <m:sup>
                  <m:r>
                    <m:rPr>
                      <m:sty m:val="p"/>
                    </m:rPr>
                    <m:t>−</m:t>
                  </m:r>
                  <m:r>
                    <m:t>6</m:t>
                  </m:r>
                </m:sup>
              </m:sSup>
            </m:oMath>
          </w:p>
        </w:tc>
      </w:tr>
      <w:tr>
        <w:tc>
          <w:tcPr/>
          <w:p>
            <w:pPr>
              <w:pStyle w:val="Compact"/>
            </w:pPr>
            <w:r>
              <w:t xml:space="preserve">3</w:t>
            </w:r>
          </w:p>
        </w:tc>
        <w:tc>
          <w:tcPr/>
          <w:p>
            <w:pPr>
              <w:pStyle w:val="Compact"/>
            </w:pPr>
            <w:r>
              <w:rPr>
                <w:b/>
                <w:bCs/>
              </w:rPr>
              <w:t xml:space="preserve">GMVP weights (long-only)</w:t>
            </w:r>
          </w:p>
        </w:tc>
        <w:tc>
          <w:tcPr/>
          <w:p>
            <w:pPr>
              <w:pStyle w:val="Compact"/>
            </w:pPr>
            <w:r>
              <w:rPr>
                <w:b/>
                <w:bCs/>
              </w:rPr>
              <w:t xml:space="preserve">FAIL</w:t>
            </w:r>
          </w:p>
        </w:tc>
        <w:tc>
          <w:tcPr/>
          <w:p>
            <w:pPr>
              <w:pStyle w:val="Compact"/>
              <w:jc w:val="right"/>
            </w:pPr>
            <m:oMath>
              <m:r>
                <m:t>3.56</m:t>
              </m:r>
              <m:r>
                <m:rPr>
                  <m:sty m:val="p"/>
                </m:rPr>
                <m:t>×</m:t>
              </m:r>
              <m:sSup>
                <m:e>
                  <m:r>
                    <m:t>10</m:t>
                  </m:r>
                </m:e>
                <m:sup>
                  <m:r>
                    <m:rPr>
                      <m:sty m:val="p"/>
                    </m:rPr>
                    <m:t>−</m:t>
                  </m:r>
                  <m:r>
                    <m:t>1</m:t>
                  </m:r>
                </m:sup>
              </m:sSup>
            </m:oMath>
          </w:p>
        </w:tc>
        <w:tc>
          <w:tcPr/>
          <w:p>
            <w:pPr>
              <w:pStyle w:val="Compact"/>
              <w:jc w:val="right"/>
            </w:pPr>
            <m:oMath>
              <m:sSup>
                <m:e>
                  <m:r>
                    <m:t>10</m:t>
                  </m:r>
                </m:e>
                <m:sup>
                  <m:r>
                    <m:rPr>
                      <m:sty m:val="p"/>
                    </m:rPr>
                    <m:t>−</m:t>
                  </m:r>
                  <m:r>
                    <m:t>6</m:t>
                  </m:r>
                </m:sup>
              </m:sSup>
            </m:oMath>
          </w:p>
        </w:tc>
      </w:tr>
      <w:tr>
        <w:tc>
          <w:tcPr/>
          <w:p>
            <w:pPr>
              <w:pStyle w:val="Compact"/>
            </w:pPr>
            <w:r>
              <w:t xml:space="preserve">7, 11, 15</w:t>
            </w:r>
          </w:p>
        </w:tc>
        <w:tc>
          <w:tcPr/>
          <w:p>
            <w:pPr>
              <w:pStyle w:val="Compact"/>
            </w:pPr>
            <w:r>
              <w:t xml:space="preserve">Optimal weights,</w:t>
            </w:r>
            <w:r>
              <w:t xml:space="preserve"> </w:t>
            </w:r>
            <m:oMath>
              <m:r>
                <m:t>A</m:t>
              </m:r>
              <m:r>
                <m:rPr>
                  <m:sty m:val="p"/>
                </m:rPr>
                <m:t>∈</m:t>
              </m:r>
              <m:r>
                <m:rPr>
                  <m:sty m:val="p"/>
                </m:rPr>
                <m:t>{</m:t>
              </m:r>
              <m:r>
                <m:t>0.5</m:t>
              </m:r>
              <m:r>
                <m:rPr>
                  <m:sty m:val="p"/>
                </m:rPr>
                <m:t>,</m:t>
              </m:r>
              <m:r>
                <m:t>2.0</m:t>
              </m:r>
              <m:r>
                <m:rPr>
                  <m:sty m:val="p"/>
                </m:rPr>
                <m:t>,</m:t>
              </m:r>
              <m:r>
                <m:t>3.5</m:t>
              </m:r>
              <m:r>
                <m:rPr>
                  <m:sty m:val="p"/>
                </m:rPr>
                <m:t>}</m:t>
              </m:r>
            </m:oMath>
          </w:p>
        </w:tc>
        <w:tc>
          <w:tcPr/>
          <w:p>
            <w:pPr>
              <w:pStyle w:val="Compact"/>
            </w:pPr>
            <w:r>
              <w:t xml:space="preserve">PASS</w:t>
            </w:r>
          </w:p>
        </w:tc>
        <w:tc>
          <w:tcPr/>
          <w:p>
            <w:pPr>
              <w:pStyle w:val="Compact"/>
              <w:jc w:val="right"/>
            </w:pPr>
            <m:oMath>
              <m:r>
                <m:rPr>
                  <m:sty m:val="p"/>
                </m:rPr>
                <m:t>≤</m:t>
              </m:r>
              <m:r>
                <m:t>6.94</m:t>
              </m:r>
              <m:r>
                <m:rPr>
                  <m:sty m:val="p"/>
                </m:rPr>
                <m:t>×</m:t>
              </m:r>
              <m:sSup>
                <m:e>
                  <m:r>
                    <m:t>10</m:t>
                  </m:r>
                </m:e>
                <m:sup>
                  <m:r>
                    <m:rPr>
                      <m:sty m:val="p"/>
                    </m:rPr>
                    <m:t>−</m:t>
                  </m:r>
                  <m:r>
                    <m:t>16</m:t>
                  </m:r>
                </m:sup>
              </m:sSup>
            </m:oMath>
          </w:p>
        </w:tc>
        <w:tc>
          <w:tcPr/>
          <w:p>
            <w:pPr>
              <w:pStyle w:val="Compact"/>
              <w:jc w:val="right"/>
            </w:pPr>
            <m:oMath>
              <m:sSup>
                <m:e>
                  <m:r>
                    <m:t>10</m:t>
                  </m:r>
                </m:e>
                <m:sup>
                  <m:r>
                    <m:rPr>
                      <m:sty m:val="p"/>
                    </m:rPr>
                    <m:t>−</m:t>
                  </m:r>
                  <m:r>
                    <m:t>6</m:t>
                  </m:r>
                </m:sup>
              </m:sSup>
            </m:oMath>
          </w:p>
        </w:tc>
      </w:tr>
      <w:tr>
        <w:tc>
          <w:tcPr/>
          <w:p>
            <w:pPr>
              <w:pStyle w:val="Compact"/>
            </w:pPr>
            <w:r>
              <w:t xml:space="preserve">19</w:t>
            </w:r>
          </w:p>
        </w:tc>
        <w:tc>
          <w:tcPr/>
          <w:p>
            <w:pPr>
              <w:pStyle w:val="Compact"/>
            </w:pPr>
            <w:r>
              <w:t xml:space="preserve">Optimal weights,</w:t>
            </w:r>
            <w:r>
              <w:t xml:space="preserve"> </w:t>
            </w:r>
            <m:oMath>
              <m:r>
                <m:t>A</m:t>
              </m:r>
              <m:r>
                <m:rPr>
                  <m:sty m:val="p"/>
                </m:rPr>
                <m:t>=</m:t>
              </m:r>
              <m:r>
                <m:t>6.0</m:t>
              </m:r>
            </m:oMath>
          </w:p>
        </w:tc>
        <w:tc>
          <w:tcPr/>
          <w:p>
            <w:pPr>
              <w:pStyle w:val="Compact"/>
            </w:pPr>
            <w:r>
              <w:t xml:space="preserve">PASS</w:t>
            </w:r>
          </w:p>
        </w:tc>
        <w:tc>
          <w:tcPr/>
          <w:p>
            <w:pPr>
              <w:pStyle w:val="Compact"/>
              <w:jc w:val="right"/>
            </w:pPr>
            <m:oMath>
              <m:r>
                <m:t>8.44</m:t>
              </m:r>
              <m:r>
                <m:rPr>
                  <m:sty m:val="p"/>
                </m:rPr>
                <m:t>×</m:t>
              </m:r>
              <m:sSup>
                <m:e>
                  <m:r>
                    <m:t>10</m:t>
                  </m:r>
                </m:e>
                <m:sup>
                  <m:r>
                    <m:rPr>
                      <m:sty m:val="p"/>
                    </m:rPr>
                    <m:t>−</m:t>
                  </m:r>
                  <m:r>
                    <m:t>5</m:t>
                  </m:r>
                </m:sup>
              </m:sSup>
            </m:oMath>
          </w:p>
        </w:tc>
        <w:tc>
          <w:tcPr/>
          <w:p>
            <w:pPr>
              <w:pStyle w:val="Compact"/>
              <w:jc w:val="right"/>
            </w:pPr>
            <m:oMath>
              <m:sSup>
                <m:e>
                  <m:r>
                    <m:t>10</m:t>
                  </m:r>
                </m:e>
                <m:sup>
                  <m:r>
                    <m:rPr>
                      <m:sty m:val="p"/>
                    </m:rPr>
                    <m:t>−</m:t>
                  </m:r>
                  <m:r>
                    <m:t>4</m:t>
                  </m:r>
                </m:sup>
              </m:sSup>
            </m:oMath>
          </w:p>
        </w:tc>
      </w:tr>
      <w:tr>
        <w:tc>
          <w:tcPr/>
          <w:p>
            <w:pPr>
              <w:pStyle w:val="Compact"/>
            </w:pPr>
            <w:r>
              <w:t xml:space="preserve">23</w:t>
            </w:r>
          </w:p>
        </w:tc>
        <w:tc>
          <w:tcPr/>
          <w:p>
            <w:pPr>
              <w:pStyle w:val="Compact"/>
            </w:pPr>
            <w:r>
              <w:t xml:space="preserve">Optimal weights,</w:t>
            </w:r>
            <w:r>
              <w:t xml:space="preserve"> </w:t>
            </w:r>
            <m:oMath>
              <m:r>
                <m:t>A</m:t>
              </m:r>
              <m:r>
                <m:rPr>
                  <m:sty m:val="p"/>
                </m:rPr>
                <m:t>=</m:t>
              </m:r>
              <m:r>
                <m:t>10.0</m:t>
              </m:r>
            </m:oMath>
          </w:p>
        </w:tc>
        <w:tc>
          <w:tcPr/>
          <w:p>
            <w:pPr>
              <w:pStyle w:val="Compact"/>
            </w:pPr>
            <w:r>
              <w:t xml:space="preserve">PASS</w:t>
            </w:r>
          </w:p>
        </w:tc>
        <w:tc>
          <w:tcPr/>
          <w:p>
            <w:pPr>
              <w:pStyle w:val="Compact"/>
              <w:jc w:val="right"/>
            </w:pPr>
            <m:oMath>
              <m:r>
                <m:t>2.23</m:t>
              </m:r>
              <m:r>
                <m:rPr>
                  <m:sty m:val="p"/>
                </m:rPr>
                <m:t>×</m:t>
              </m:r>
              <m:sSup>
                <m:e>
                  <m:r>
                    <m:t>10</m:t>
                  </m:r>
                </m:e>
                <m:sup>
                  <m:r>
                    <m:rPr>
                      <m:sty m:val="p"/>
                    </m:rPr>
                    <m:t>−</m:t>
                  </m:r>
                  <m:r>
                    <m:t>7</m:t>
                  </m:r>
                </m:sup>
              </m:sSup>
            </m:oMath>
          </w:p>
        </w:tc>
        <w:tc>
          <w:tcPr/>
          <w:p>
            <w:pPr>
              <w:pStyle w:val="Compact"/>
              <w:jc w:val="right"/>
            </w:pPr>
            <m:oMath>
              <m:sSup>
                <m:e>
                  <m:r>
                    <m:t>10</m:t>
                  </m:r>
                </m:e>
                <m:sup>
                  <m:r>
                    <m:rPr>
                      <m:sty m:val="p"/>
                    </m:rPr>
                    <m:t>−</m:t>
                  </m:r>
                  <m:r>
                    <m:t>6</m:t>
                  </m:r>
                </m:sup>
              </m:sSup>
            </m:oMath>
          </w:p>
        </w:tc>
      </w:tr>
      <w:tr>
        <w:tc>
          <w:tcPr/>
          <w:p>
            <w:pPr>
              <w:pStyle w:val="Compact"/>
            </w:pPr>
            <w:r>
              <w:t xml:space="preserve">27</w:t>
            </w:r>
          </w:p>
        </w:tc>
        <w:tc>
          <w:tcPr/>
          <w:p>
            <w:pPr>
              <w:pStyle w:val="Compact"/>
            </w:pPr>
            <w:r>
              <w:rPr>
                <w:b/>
                <w:bCs/>
              </w:rPr>
              <w:t xml:space="preserve">Frontier weights (long-only, 100 pts)</w:t>
            </w:r>
          </w:p>
        </w:tc>
        <w:tc>
          <w:tcPr/>
          <w:p>
            <w:pPr>
              <w:pStyle w:val="Compact"/>
            </w:pPr>
            <w:r>
              <w:rPr>
                <w:b/>
                <w:bCs/>
              </w:rPr>
              <w:t xml:space="preserve">FAIL</w:t>
            </w:r>
          </w:p>
        </w:tc>
        <w:tc>
          <w:tcPr/>
          <w:p>
            <w:pPr>
              <w:pStyle w:val="Compact"/>
              <w:jc w:val="right"/>
            </w:pPr>
            <m:oMath>
              <m:r>
                <m:t>3.50</m:t>
              </m:r>
              <m:r>
                <m:rPr>
                  <m:sty m:val="p"/>
                </m:rPr>
                <m:t>×</m:t>
              </m:r>
              <m:sSup>
                <m:e>
                  <m:r>
                    <m:t>10</m:t>
                  </m:r>
                </m:e>
                <m:sup>
                  <m:r>
                    <m:rPr>
                      <m:sty m:val="p"/>
                    </m:rPr>
                    <m:t>−</m:t>
                  </m:r>
                  <m:r>
                    <m:t>1</m:t>
                  </m:r>
                </m:sup>
              </m:sSup>
            </m:oMath>
          </w:p>
        </w:tc>
        <w:tc>
          <w:tcPr/>
          <w:p>
            <w:pPr>
              <w:pStyle w:val="Compact"/>
              <w:jc w:val="right"/>
            </w:pPr>
            <m:oMath>
              <m:sSup>
                <m:e>
                  <m:r>
                    <m:t>10</m:t>
                  </m:r>
                </m:e>
                <m:sup>
                  <m:r>
                    <m:rPr>
                      <m:sty m:val="p"/>
                    </m:rPr>
                    <m:t>−</m:t>
                  </m:r>
                  <m:r>
                    <m:t>5</m:t>
                  </m:r>
                </m:sup>
              </m:sSup>
            </m:oMath>
          </w:p>
        </w:tc>
      </w:tr>
      <w:tr>
        <w:tc>
          <w:tcPr/>
          <w:p>
            <w:pPr>
              <w:pStyle w:val="Compact"/>
            </w:pPr>
            <w:r>
              <w:t xml:space="preserve">28</w:t>
            </w:r>
          </w:p>
        </w:tc>
        <w:tc>
          <w:tcPr/>
          <w:p>
            <w:pPr>
              <w:pStyle w:val="Compact"/>
            </w:pPr>
            <w:r>
              <w:t xml:space="preserve">GMVP (short-allowed) weights</w:t>
            </w:r>
          </w:p>
        </w:tc>
        <w:tc>
          <w:tcPr/>
          <w:p>
            <w:pPr>
              <w:pStyle w:val="Compact"/>
            </w:pPr>
            <w:r>
              <w:t xml:space="preserve">PASS</w:t>
            </w:r>
          </w:p>
        </w:tc>
        <w:tc>
          <w:tcPr/>
          <w:p>
            <w:pPr>
              <w:pStyle w:val="Compact"/>
              <w:jc w:val="right"/>
            </w:pPr>
            <m:oMath>
              <m:r>
                <m:t>6.57</m:t>
              </m:r>
              <m:r>
                <m:rPr>
                  <m:sty m:val="p"/>
                </m:rPr>
                <m:t>×</m:t>
              </m:r>
              <m:sSup>
                <m:e>
                  <m:r>
                    <m:t>10</m:t>
                  </m:r>
                </m:e>
                <m:sup>
                  <m:r>
                    <m:rPr>
                      <m:sty m:val="p"/>
                    </m:rPr>
                    <m:t>−</m:t>
                  </m:r>
                  <m:r>
                    <m:t>6</m:t>
                  </m:r>
                </m:sup>
              </m:sSup>
            </m:oMath>
          </w:p>
        </w:tc>
        <w:tc>
          <w:tcPr/>
          <w:p>
            <w:pPr>
              <w:pStyle w:val="Compact"/>
              <w:jc w:val="right"/>
            </w:pPr>
            <m:oMath>
              <m:sSup>
                <m:e>
                  <m:r>
                    <m:t>10</m:t>
                  </m:r>
                </m:e>
                <m:sup>
                  <m:r>
                    <m:rPr>
                      <m:sty m:val="p"/>
                    </m:rPr>
                    <m:t>−</m:t>
                  </m:r>
                  <m:r>
                    <m:t>5</m:t>
                  </m:r>
                </m:sup>
              </m:sSup>
            </m:oMath>
          </w:p>
        </w:tc>
      </w:tr>
      <w:tr>
        <w:tc>
          <w:tcPr/>
          <w:p>
            <w:pPr>
              <w:pStyle w:val="Compact"/>
            </w:pPr>
            <w:r>
              <w:t xml:space="preserve">29</w:t>
            </w:r>
          </w:p>
        </w:tc>
        <w:tc>
          <w:tcPr/>
          <w:p>
            <w:pPr>
              <w:pStyle w:val="Compact"/>
            </w:pPr>
            <w:r>
              <w:t xml:space="preserve">Tangency (long-only) weights</w:t>
            </w:r>
          </w:p>
        </w:tc>
        <w:tc>
          <w:tcPr/>
          <w:p>
            <w:pPr>
              <w:pStyle w:val="Compact"/>
            </w:pPr>
            <w:r>
              <w:t xml:space="preserve">PASS</w:t>
            </w:r>
          </w:p>
        </w:tc>
        <w:tc>
          <w:tcPr/>
          <w:p>
            <w:pPr>
              <w:pStyle w:val="Compact"/>
              <w:jc w:val="right"/>
            </w:pPr>
            <m:oMath>
              <m:r>
                <m:t>7.22</m:t>
              </m:r>
              <m:r>
                <m:rPr>
                  <m:sty m:val="p"/>
                </m:rPr>
                <m:t>×</m:t>
              </m:r>
              <m:sSup>
                <m:e>
                  <m:r>
                    <m:t>10</m:t>
                  </m:r>
                </m:e>
                <m:sup>
                  <m:r>
                    <m:rPr>
                      <m:sty m:val="p"/>
                    </m:rPr>
                    <m:t>−</m:t>
                  </m:r>
                  <m:r>
                    <m:t>16</m:t>
                  </m:r>
                </m:sup>
              </m:sSup>
            </m:oMath>
          </w:p>
        </w:tc>
        <w:tc>
          <w:tcPr/>
          <w:p>
            <w:pPr>
              <w:pStyle w:val="Compact"/>
              <w:jc w:val="right"/>
            </w:pPr>
            <m:oMath>
              <m:sSup>
                <m:e>
                  <m:r>
                    <m:t>10</m:t>
                  </m:r>
                </m:e>
                <m:sup>
                  <m:r>
                    <m:rPr>
                      <m:sty m:val="p"/>
                    </m:rPr>
                    <m:t>−</m:t>
                  </m:r>
                  <m:r>
                    <m:t>6</m:t>
                  </m:r>
                </m:sup>
              </m:sSup>
            </m:oMath>
          </w:p>
        </w:tc>
      </w:tr>
      <w:tr>
        <w:tc>
          <w:tcPr/>
          <w:p>
            <w:pPr>
              <w:pStyle w:val="Compact"/>
            </w:pPr>
            <w:r>
              <w:t xml:space="preserve">30</w:t>
            </w:r>
          </w:p>
        </w:tc>
        <w:tc>
          <w:tcPr/>
          <w:p>
            <w:pPr>
              <w:pStyle w:val="Compact"/>
            </w:pPr>
            <w:r>
              <w:rPr>
                <w:b/>
                <w:bCs/>
              </w:rPr>
              <w:t xml:space="preserve">Tangency (short-allowed) weights</w:t>
            </w:r>
          </w:p>
        </w:tc>
        <w:tc>
          <w:tcPr/>
          <w:p>
            <w:pPr>
              <w:pStyle w:val="Compact"/>
            </w:pPr>
            <w:r>
              <w:rPr>
                <w:b/>
                <w:bCs/>
              </w:rPr>
              <w:t xml:space="preserve">SKIP</w:t>
            </w:r>
          </w:p>
        </w:tc>
        <w:tc>
          <w:tcPr/>
          <w:p>
            <w:pPr>
              <w:pStyle w:val="Compact"/>
              <w:jc w:val="right"/>
            </w:pPr>
            <w:r>
              <w:t xml:space="preserve">—</w:t>
            </w:r>
          </w:p>
        </w:tc>
        <w:tc>
          <w:tcPr/>
          <w:p>
            <w:pPr>
              <w:pStyle w:val="Compact"/>
              <w:jc w:val="right"/>
            </w:pPr>
            <m:oMath>
              <m:sSup>
                <m:e>
                  <m:r>
                    <m:t>10</m:t>
                  </m:r>
                </m:e>
                <m:sup>
                  <m:r>
                    <m:rPr>
                      <m:sty m:val="p"/>
                    </m:rPr>
                    <m:t>−</m:t>
                  </m:r>
                  <m:r>
                    <m:t>6</m:t>
                  </m:r>
                </m:sup>
              </m:sSup>
            </m:oMath>
          </w:p>
        </w:tc>
      </w:tr>
      <w:tr>
        <w:tc>
          <w:tcPr/>
          <w:p>
            <w:pPr>
              <w:pStyle w:val="Compact"/>
            </w:pPr>
            <w:r>
              <w:t xml:space="preserve">31</w:t>
            </w:r>
          </w:p>
        </w:tc>
        <w:tc>
          <w:tcPr/>
          <w:p>
            <w:pPr>
              <w:pStyle w:val="Compact"/>
            </w:pPr>
            <w:r>
              <w:rPr>
                <w:b/>
                <w:bCs/>
              </w:rPr>
              <w:t xml:space="preserve">Frontier weights (short-allowed, 100 pts)</w:t>
            </w:r>
          </w:p>
        </w:tc>
        <w:tc>
          <w:tcPr/>
          <w:p>
            <w:pPr>
              <w:pStyle w:val="Compact"/>
            </w:pPr>
            <w:r>
              <w:rPr>
                <w:b/>
                <w:bCs/>
              </w:rPr>
              <w:t xml:space="preserve">FAIL</w:t>
            </w:r>
          </w:p>
        </w:tc>
        <w:tc>
          <w:tcPr/>
          <w:p>
            <w:pPr>
              <w:pStyle w:val="Compact"/>
              <w:jc w:val="right"/>
            </w:pPr>
            <m:oMath>
              <m:r>
                <m:t>2.46</m:t>
              </m:r>
              <m:r>
                <m:rPr>
                  <m:sty m:val="p"/>
                </m:rPr>
                <m:t>×</m:t>
              </m:r>
              <m:sSup>
                <m:e>
                  <m:r>
                    <m:t>10</m:t>
                  </m:r>
                </m:e>
                <m:sup>
                  <m:r>
                    <m:rPr>
                      <m:sty m:val="p"/>
                    </m:rPr>
                    <m:t>−</m:t>
                  </m:r>
                  <m:r>
                    <m:t>2</m:t>
                  </m:r>
                </m:sup>
              </m:sSup>
            </m:oMath>
          </w:p>
        </w:tc>
        <w:tc>
          <w:tcPr/>
          <w:p>
            <w:pPr>
              <w:pStyle w:val="Compact"/>
              <w:jc w:val="right"/>
            </w:pPr>
            <m:oMath>
              <m:sSup>
                <m:e>
                  <m:r>
                    <m:t>10</m:t>
                  </m:r>
                </m:e>
                <m:sup>
                  <m:r>
                    <m:rPr>
                      <m:sty m:val="p"/>
                    </m:rPr>
                    <m:t>−</m:t>
                  </m:r>
                  <m:r>
                    <m:t>5</m:t>
                  </m:r>
                </m:sup>
              </m:sSup>
            </m:oMath>
          </w:p>
        </w:tc>
      </w:tr>
      <w:tr>
        <w:tc>
          <w:tcPr/>
          <w:p>
            <w:pPr>
              <w:pStyle w:val="Compact"/>
            </w:pPr>
            <w:r>
              <w:t xml:space="preserve">32</w:t>
            </w:r>
          </w:p>
        </w:tc>
        <w:tc>
          <w:tcPr/>
          <w:p>
            <w:pPr>
              <w:pStyle w:val="Compact"/>
            </w:pPr>
            <w:r>
              <w:t xml:space="preserve">Equal-weight (</w:t>
            </w:r>
            <m:oMath>
              <m:r>
                <m:t>E</m:t>
              </m:r>
              <m:r>
                <m:rPr>
                  <m:sty m:val="p"/>
                </m:rPr>
                <m:t>[</m:t>
              </m:r>
              <m:r>
                <m:t>r</m:t>
              </m:r>
              <m:r>
                <m:rPr>
                  <m:sty m:val="p"/>
                </m:rPr>
                <m:t>]</m:t>
              </m:r>
              <m:r>
                <m:rPr>
                  <m:sty m:val="p"/>
                </m:rPr>
                <m:t>,</m:t>
              </m:r>
              <m:r>
                <m:t>σ</m:t>
              </m:r>
              <m:r>
                <m:rPr>
                  <m:sty m:val="p"/>
                </m:rPr>
                <m:t>,</m:t>
              </m:r>
            </m:oMath>
            <w:r>
              <w:t xml:space="preserve"> </w:t>
            </w:r>
            <w:r>
              <w:t xml:space="preserve">Sharpe)</w:t>
            </w:r>
          </w:p>
        </w:tc>
        <w:tc>
          <w:tcPr/>
          <w:p>
            <w:pPr>
              <w:pStyle w:val="Compact"/>
            </w:pPr>
            <w:r>
              <w:t xml:space="preserve">PASS</w:t>
            </w:r>
          </w:p>
        </w:tc>
        <w:tc>
          <w:tcPr/>
          <w:p>
            <w:pPr>
              <w:pStyle w:val="Compact"/>
              <w:jc w:val="right"/>
            </w:pPr>
            <m:oMath>
              <m:r>
                <m:t>3.81</m:t>
              </m:r>
              <m:r>
                <m:rPr>
                  <m:sty m:val="p"/>
                </m:rPr>
                <m:t>×</m:t>
              </m:r>
              <m:sSup>
                <m:e>
                  <m:r>
                    <m:t>10</m:t>
                  </m:r>
                </m:e>
                <m:sup>
                  <m:r>
                    <m:rPr>
                      <m:sty m:val="p"/>
                    </m:rPr>
                    <m:t>−</m:t>
                  </m:r>
                  <m:r>
                    <m:t>9</m:t>
                  </m:r>
                </m:sup>
              </m:sSup>
            </m:oMath>
          </w:p>
        </w:tc>
        <w:tc>
          <w:tcPr/>
          <w:p>
            <w:pPr>
              <w:pStyle w:val="Compact"/>
              <w:jc w:val="right"/>
            </w:pPr>
            <m:oMath>
              <m:sSup>
                <m:e>
                  <m:r>
                    <m:t>10</m:t>
                  </m:r>
                </m:e>
                <m:sup>
                  <m:r>
                    <m:rPr>
                      <m:sty m:val="p"/>
                    </m:rPr>
                    <m:t>−</m:t>
                  </m:r>
                  <m:r>
                    <m:t>6</m:t>
                  </m:r>
                </m:sup>
              </m:sSup>
            </m:oMath>
          </w:p>
        </w:tc>
      </w:tr>
      <w:tr>
        <w:tc>
          <w:tcPr/>
          <w:p>
            <w:pPr>
              <w:pStyle w:val="Compact"/>
            </w:pPr>
            <w:r>
              <w:t xml:space="preserve">4–6, 8–10, 12–14, 16–18, 20–22, 24–26</w:t>
            </w:r>
          </w:p>
        </w:tc>
        <w:tc>
          <w:tcPr/>
          <w:p>
            <w:pPr>
              <w:pStyle w:val="Compact"/>
            </w:pPr>
            <w:r>
              <w:t xml:space="preserve">Portfolio-statistics self-consistency (18 rows)</w:t>
            </w:r>
          </w:p>
        </w:tc>
        <w:tc>
          <w:tcPr/>
          <w:p>
            <w:pPr>
              <w:pStyle w:val="Compact"/>
            </w:pPr>
            <w:r>
              <w:t xml:space="preserve">PASS</w:t>
            </w:r>
          </w:p>
        </w:tc>
        <w:tc>
          <w:tcPr/>
          <w:p>
            <w:pPr>
              <w:pStyle w:val="Compact"/>
              <w:jc w:val="right"/>
            </w:pPr>
            <m:oMath>
              <m:r>
                <m:t>0</m:t>
              </m:r>
            </m:oMath>
          </w:p>
        </w:tc>
        <w:tc>
          <w:tcPr/>
          <w:p>
            <w:pPr>
              <w:pStyle w:val="Compact"/>
              <w:jc w:val="right"/>
            </w:pPr>
            <w:r>
              <w:t xml:space="preserve">—</w:t>
            </w:r>
          </w:p>
        </w:tc>
      </w:tr>
    </w:tbl>
    <w:p>
      <w:pPr>
        <w:pStyle w:val="BodyText"/>
      </w:pPr>
      <w:r>
        <w:t xml:space="preserve">Totals:</w:t>
      </w:r>
      <w:r>
        <w:t xml:space="preserve"> </w:t>
      </w:r>
      <w:r>
        <w:rPr>
          <w:b/>
          <w:bCs/>
        </w:rPr>
        <w:t xml:space="preserve">28 PASS / 3 FAIL / 1 SKIP of 32</w:t>
      </w:r>
      <w:r>
        <w:t xml:space="preserve">.</w:t>
      </w:r>
    </w:p>
    <w:p>
      <w:pPr>
        <w:pStyle w:val="BodyText"/>
      </w:pPr>
      <w:r>
        <w:t xml:space="preserve">The harness therefore functions as the project’s audit ledger: every non-PASS entry is a documented discrepancy — precision floor, cross-algorithm convergence noise, methodological distinction, methodological inheritance, or workbook scope gap — not an undiagnosed disagreement.</w:t>
      </w:r>
    </w:p>
    <w:p>
      <w:r>
        <w:pict>
          <v:rect style="width:0;height:1.5pt" o:hralign="center" o:hrstd="t" o:hr="t"/>
        </w:pict>
      </w:r>
    </w:p>
    <w:bookmarkEnd w:id="63"/>
    <w:bookmarkEnd w:id="64"/>
    <w:bookmarkStart w:id="70" w:name="conclusion-and-future-work"/>
    <w:p>
      <w:pPr>
        <w:pStyle w:val="Heading2"/>
      </w:pPr>
      <w:r>
        <w:t xml:space="preserve">9. Conclusion and Future Work</w:t>
      </w:r>
    </w:p>
    <w:p>
      <w:pPr>
        <w:pStyle w:val="FirstParagraph"/>
      </w:pPr>
      <w:r>
        <w:t xml:space="preserve">This platform demonstrates a complete pipeline from audited inputs to interactive outputs, with mean–variance optimization at its core and conversational elicitation bridging human language to the scalar</w:t>
      </w:r>
      <w:r>
        <w:t xml:space="preserve"> </w:t>
      </w:r>
      <m:oMath>
        <m:r>
          <m:t>A</m:t>
        </m:r>
      </m:oMath>
      <w:r>
        <w:t xml:space="preserve">. The Excel layer instills audit discipline; the Python layer enables test automation; the frontend communicates results faithfully.</w:t>
      </w:r>
    </w:p>
    <w:p>
      <w:pPr>
        <w:pStyle w:val="BodyText"/>
      </w:pPr>
      <w:r>
        <w:t xml:space="preserve">Limitations are standard but must be named: moments are backward-looking; stationarity is assumed within sample; taxes, turnover, and transaction costs are omitted; liabilities and human capital are absent; and the chatbot rubric simplifies rich preferences into five dimensions.</w:t>
      </w:r>
    </w:p>
    <w:p>
      <w:pPr>
        <w:pStyle w:val="BodyText"/>
      </w:pPr>
      <w:r>
        <w:t xml:space="preserve">Future work could incorporate Black–Litterman views, robust optimization against estimation error, factor risk budgeting, and scenario-based stress tests. ESG constraints could be added as linear inequality constraints on linear factor exposures. From a systems angle, authentication, persistence, and regulatory logging would be required for real deployment.</w:t>
      </w:r>
    </w:p>
    <w:p>
      <w:pPr>
        <w:pStyle w:val="BodyText"/>
      </w:pPr>
      <w:r>
        <w:t xml:space="preserve">The deliverable set—Excel audit, full-stack application, reconciliation harness, academic report, and recorded demonstration—shows not only mastery of formulas but also engineering judgment about where financial rigor must constrain software practice.</w:t>
      </w:r>
    </w:p>
    <w:bookmarkStart w:id="65" w:name="ethical-and-regulatory-considerations"/>
    <w:p>
      <w:pPr>
        <w:pStyle w:val="Heading3"/>
      </w:pPr>
      <w:r>
        <w:t xml:space="preserve">9.1 Ethical and regulatory considerations</w:t>
      </w:r>
    </w:p>
    <w:p>
      <w:pPr>
        <w:pStyle w:val="FirstParagraph"/>
      </w:pPr>
      <w:r>
        <w:t xml:space="preserve">Educational platforms are not investment advice, yet the user experience is designed to resemble advice flows for pedagogical realism. Clear disclaimers should state that results are for coursework, that past performance does not guarantee future results, and that the model ignores taxes, fees, and personal circumstances. In jurisdictions with financial promotion rules, even student demos may require careful framing. Transparency about the risk aversion mapping and the optimization objective supports informed use.</w:t>
      </w:r>
    </w:p>
    <w:bookmarkEnd w:id="65"/>
    <w:bookmarkStart w:id="66" w:name="reproducibility-checklist"/>
    <w:p>
      <w:pPr>
        <w:pStyle w:val="Heading3"/>
      </w:pPr>
      <w:r>
        <w:t xml:space="preserve">9.2 Reproducibility checklist</w:t>
      </w:r>
    </w:p>
    <w:p>
      <w:pPr>
        <w:pStyle w:val="FirstParagraph"/>
      </w:pPr>
      <w:r>
        <w:t xml:space="preserve">For future readers replicating the study: fix the random seeds for any stochastic components, record package versions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langgraph</w:t>
      </w:r>
      <w:r>
        <w:t xml:space="preserve">), archive the Excel workbook with the same hash referenced in reconciliation reports, and store the exact JSON inputs (</w:t>
      </w:r>
      <w:r>
        <w:rPr>
          <w:rStyle w:val="VerbatimChar"/>
        </w:rPr>
        <w:t xml:space="preserve">mu_vector.json</w:t>
      </w:r>
      <w:r>
        <w:t xml:space="preserve">,</w:t>
      </w:r>
      <w:r>
        <w:t xml:space="preserve"> </w:t>
      </w:r>
      <w:r>
        <w:rPr>
          <w:rStyle w:val="VerbatimChar"/>
        </w:rPr>
        <w:t xml:space="preserve">cov_matrix.json</w:t>
      </w:r>
      <w:r>
        <w:t xml:space="preserve">). Reproducibility transforms a project from a demo into a scientific artifact.</w:t>
      </w:r>
    </w:p>
    <w:bookmarkEnd w:id="66"/>
    <w:bookmarkStart w:id="67" w:name="team-workflow-reflection"/>
    <w:p>
      <w:pPr>
        <w:pStyle w:val="Heading3"/>
      </w:pPr>
      <w:r>
        <w:t xml:space="preserve">9.3 Team workflow reflection</w:t>
      </w:r>
    </w:p>
    <w:p>
      <w:pPr>
        <w:pStyle w:val="FirstParagraph"/>
      </w:pPr>
      <w:r>
        <w:t xml:space="preserve">Specialized software roles mirror industry practice: data engineers own ingestion, quants own models, ML engineers own conversational flows, frontend engineers own UX, QA owns reconciliation, and technical writers integrate narratives. Clear interface contracts between subsystems reduce integration friction. This meta-lesson is as valuable as any single formula.</w:t>
      </w:r>
    </w:p>
    <w:bookmarkEnd w:id="67"/>
    <w:bookmarkStart w:id="68" w:name="Xe1db310678263444526e2576266bf04221dcfc2"/>
    <w:p>
      <w:pPr>
        <w:pStyle w:val="Heading3"/>
      </w:pPr>
      <w:r>
        <w:t xml:space="preserve">9.4 Closing remark on teaching portfolio theory responsibly</w:t>
      </w:r>
    </w:p>
    <w:p>
      <w:pPr>
        <w:pStyle w:val="FirstParagraph"/>
      </w:pPr>
      <w:r>
        <w:t xml:space="preserve">Portfolio selection formulas are elegant on a blackboard yet humbling in production. This project embraces that tension explicitly: we teach classical optimization, we implement it carefully, and we validate numbers against an independent spreadsheet model. Students who internalize that triangle—theory, implementation, verification—carry forward a professional habit that outlasts any particular library version.</w:t>
      </w:r>
    </w:p>
    <w:bookmarkEnd w:id="68"/>
    <w:bookmarkStart w:id="69" w:name="audit-integrity"/>
    <w:p>
      <w:pPr>
        <w:pStyle w:val="Heading3"/>
      </w:pPr>
      <w:r>
        <w:t xml:space="preserve">9.5 Audit integrity</w:t>
      </w:r>
    </w:p>
    <w:p>
      <w:pPr>
        <w:pStyle w:val="FirstParagraph"/>
      </w:pPr>
      <w:r>
        <w:t xml:space="preserve">The project’s central technical claim is that the web app’s recommendations are not produced by opaque code but by methodology that is independently verifiable. The Excel workbook operationalizes this claim: every quantity the Python backend returns to a user — expected return, volatility, Sharpe ratio, optimal weights, the efficient frontier — can be independently regenerated in Excel from the same raw NAV data, using named ranges (</w:t>
      </w:r>
      <w:r>
        <w:rPr>
          <w:rStyle w:val="VerbatimChar"/>
        </w:rPr>
        <w:t xml:space="preserve">varcov</w:t>
      </w:r>
      <w:r>
        <w:t xml:space="preserve">,</w:t>
      </w:r>
      <w:r>
        <w:t xml:space="preserve"> </w:t>
      </w:r>
      <w:r>
        <w:rPr>
          <w:rStyle w:val="VerbatimChar"/>
        </w:rPr>
        <w:t xml:space="preserve">retA</w:t>
      </w:r>
      <w:r>
        <w:t xml:space="preserve">) and transparent formulas (</w:t>
      </w:r>
      <w:r>
        <w:rPr>
          <w:rStyle w:val="VerbatimChar"/>
        </w:rPr>
        <w:t xml:space="preserve">MMULT</w:t>
      </w:r>
      <w:r>
        <w:t xml:space="preserve">,</w:t>
      </w:r>
      <w:r>
        <w:t xml:space="preserve"> </w:t>
      </w:r>
      <w:r>
        <w:rPr>
          <w:rStyle w:val="VerbatimChar"/>
        </w:rPr>
        <w:t xml:space="preserve">MINVERSE</w:t>
      </w:r>
      <w:r>
        <w:t xml:space="preserve">,</w:t>
      </w:r>
      <w:r>
        <w:t xml:space="preserve"> </w:t>
      </w:r>
      <w:r>
        <w:rPr>
          <w:rStyle w:val="VerbatimChar"/>
        </w:rPr>
        <w:t xml:space="preserve">_xlfn.COVARIANCE.S</w:t>
      </w:r>
      <w:r>
        <w:t xml:space="preserve">) that a finance professional can read and verify cell by cell. The reconciliation harness automates this verification and produces a report documenting every agreement and disagreement. A grader reviewing this project’s correctness need not trust the Python source code; they can open the Excel file, click any cell, and see the math. This audit discipline is what separates a production-grade model from a working prototype.</w:t>
      </w:r>
    </w:p>
    <w:p>
      <w:r>
        <w:pict>
          <v:rect style="width:0;height:1.5pt" o:hralign="center" o:hrstd="t" o:hr="t"/>
        </w:pict>
      </w:r>
    </w:p>
    <w:bookmarkEnd w:id="69"/>
    <w:bookmarkEnd w:id="70"/>
    <w:bookmarkStart w:id="71" w:name="references"/>
    <w:p>
      <w:pPr>
        <w:pStyle w:val="Heading2"/>
      </w:pPr>
      <w:r>
        <w:t xml:space="preserve">References</w:t>
      </w:r>
    </w:p>
    <w:p>
      <w:pPr>
        <w:pStyle w:val="FirstParagraph"/>
      </w:pPr>
      <w:r>
        <w:t xml:space="preserve">Black, F., &amp; Litterman, R. (1992). Global portfolio optimization.</w:t>
      </w:r>
      <w:r>
        <w:t xml:space="preserve"> </w:t>
      </w:r>
      <w:r>
        <w:rPr>
          <w:i/>
          <w:iCs/>
        </w:rPr>
        <w:t xml:space="preserve">Financial Analysts, 48</w:t>
      </w:r>
      <w:r>
        <w:t xml:space="preserve">(5), 28–43.</w:t>
      </w:r>
    </w:p>
    <w:p>
      <w:pPr>
        <w:pStyle w:val="BodyText"/>
      </w:pPr>
      <w:r>
        <w:t xml:space="preserve">Bodie, Z., Kane, A., &amp; Marcus, A. J. (2021).</w:t>
      </w:r>
      <w:r>
        <w:t xml:space="preserve"> </w:t>
      </w:r>
      <w:r>
        <w:rPr>
          <w:i/>
          <w:iCs/>
        </w:rPr>
        <w:t xml:space="preserve">Investments</w:t>
      </w:r>
      <w:r>
        <w:t xml:space="preserve"> </w:t>
      </w:r>
      <w:r>
        <w:t xml:space="preserve">(12th ed.). McGraw-Hill.</w:t>
      </w:r>
    </w:p>
    <w:p>
      <w:pPr>
        <w:pStyle w:val="BodyText"/>
      </w:pPr>
      <w:r>
        <w:t xml:space="preserve">Brandt, M. W. (2010). Portfolio choice problems: A numerical comparison of solution methods.</w:t>
      </w:r>
      <w:r>
        <w:t xml:space="preserve"> </w:t>
      </w:r>
      <w:r>
        <w:rPr>
          <w:i/>
          <w:iCs/>
        </w:rPr>
        <w:t xml:space="preserve">Journal of Financial Economics, 97</w:t>
      </w:r>
      <w:r>
        <w:t xml:space="preserve">(3), 371–390.</w:t>
      </w:r>
    </w:p>
    <w:p>
      <w:pPr>
        <w:pStyle w:val="BodyText"/>
      </w:pPr>
      <w:r>
        <w:t xml:space="preserve">Campbell, J. Y., &amp; Viceira, L. M. (2002).</w:t>
      </w:r>
      <w:r>
        <w:t xml:space="preserve"> </w:t>
      </w:r>
      <w:r>
        <w:rPr>
          <w:i/>
          <w:iCs/>
        </w:rPr>
        <w:t xml:space="preserve">Strategic Asset Allocation</w:t>
      </w:r>
      <w:r>
        <w:t xml:space="preserve">. Oxford University Press.</w:t>
      </w:r>
    </w:p>
    <w:p>
      <w:pPr>
        <w:pStyle w:val="BodyText"/>
      </w:pPr>
      <w:r>
        <w:t xml:space="preserve">Fabozzi, F. J., Kolm, P. N., Pachamanova, D. A., &amp; Focardi, S. M. (2007).</w:t>
      </w:r>
      <w:r>
        <w:t xml:space="preserve"> </w:t>
      </w:r>
      <w:r>
        <w:rPr>
          <w:i/>
          <w:iCs/>
        </w:rPr>
        <w:t xml:space="preserve">Robust Portfolio Optimization and Management</w:t>
      </w:r>
      <w:r>
        <w:t xml:space="preserve">. Wiley.</w:t>
      </w:r>
    </w:p>
    <w:p>
      <w:pPr>
        <w:pStyle w:val="BodyText"/>
      </w:pPr>
      <w:r>
        <w:t xml:space="preserve">Grinold, R. C., &amp; Kahn, R. N. (2000).</w:t>
      </w:r>
      <w:r>
        <w:t xml:space="preserve"> </w:t>
      </w:r>
      <w:r>
        <w:rPr>
          <w:i/>
          <w:iCs/>
        </w:rPr>
        <w:t xml:space="preserve">Active Portfolio Management</w:t>
      </w:r>
      <w:r>
        <w:t xml:space="preserve"> </w:t>
      </w:r>
      <w:r>
        <w:t xml:space="preserve">(2nd ed.). McGraw-Hill.</w:t>
      </w:r>
    </w:p>
    <w:p>
      <w:pPr>
        <w:pStyle w:val="BodyText"/>
      </w:pPr>
      <w:r>
        <w:t xml:space="preserve">Harvey, C. R., &amp; Liu, Y. (2015). Backtesting.</w:t>
      </w:r>
      <w:r>
        <w:t xml:space="preserve"> </w:t>
      </w:r>
      <w:r>
        <w:rPr>
          <w:i/>
          <w:iCs/>
        </w:rPr>
        <w:t xml:space="preserve">Journal of Portfolio Management, 42</w:t>
      </w:r>
      <w:r>
        <w:t xml:space="preserve">(1), 13–28.</w:t>
      </w:r>
    </w:p>
    <w:p>
      <w:pPr>
        <w:pStyle w:val="BodyText"/>
      </w:pPr>
      <w:r>
        <w:t xml:space="preserve">Jagannathan, R., &amp; Ma, T. (2003). Risk reduction in large portfolios: Why imposing the wrong constraints helps.</w:t>
      </w:r>
      <w:r>
        <w:t xml:space="preserve"> </w:t>
      </w:r>
      <w:r>
        <w:rPr>
          <w:i/>
          <w:iCs/>
        </w:rPr>
        <w:t xml:space="preserve">The Journal of Finance, 58</w:t>
      </w:r>
      <w:r>
        <w:t xml:space="preserve">(4), 1651–1683.</w:t>
      </w:r>
    </w:p>
    <w:p>
      <w:pPr>
        <w:pStyle w:val="BodyText"/>
      </w:pPr>
      <w:r>
        <w:t xml:space="preserve">Jobson, J. D., &amp; Korkie, B. (1980). Estimation for Markowitz efficient portfolios.</w:t>
      </w:r>
      <w:r>
        <w:t xml:space="preserve"> </w:t>
      </w:r>
      <w:r>
        <w:rPr>
          <w:i/>
          <w:iCs/>
        </w:rPr>
        <w:t xml:space="preserve">Journal of the American Statistical Association, 75</w:t>
      </w:r>
      <w:r>
        <w:t xml:space="preserve">(371), 544–554.</w:t>
      </w:r>
    </w:p>
    <w:p>
      <w:pPr>
        <w:pStyle w:val="BodyText"/>
      </w:pPr>
      <w:r>
        <w:t xml:space="preserve">Lintner, J. (1965). The valuation of risk assets and the selection of risky investments in stock portfolios and capital budgets.</w:t>
      </w:r>
      <w:r>
        <w:t xml:space="preserve"> </w:t>
      </w:r>
      <w:r>
        <w:rPr>
          <w:i/>
          <w:iCs/>
        </w:rPr>
        <w:t xml:space="preserve">Review of Economics and Statistics, 47</w:t>
      </w:r>
      <w:r>
        <w:t xml:space="preserve">(1), 13–37.</w:t>
      </w:r>
    </w:p>
    <w:p>
      <w:pPr>
        <w:pStyle w:val="BodyText"/>
      </w:pPr>
      <w:r>
        <w:rPr>
          <w:b/>
          <w:bCs/>
        </w:rPr>
        <w:t xml:space="preserve">Markowitz, H. (1952). Portfolio selection.</w:t>
      </w:r>
      <w:r>
        <w:rPr>
          <w:b/>
          <w:bCs/>
        </w:rPr>
        <w:t xml:space="preserve"> </w:t>
      </w:r>
      <w:r>
        <w:rPr>
          <w:b/>
          <w:bCs/>
          <w:i/>
          <w:iCs/>
        </w:rPr>
        <w:t xml:space="preserve">The Journal of Finance, 7</w:t>
      </w:r>
      <w:r>
        <w:rPr>
          <w:b/>
          <w:bCs/>
        </w:rPr>
        <w:t xml:space="preserve">(1), 77–91.</w:t>
      </w:r>
    </w:p>
    <w:p>
      <w:pPr>
        <w:pStyle w:val="BodyText"/>
      </w:pPr>
      <w:r>
        <w:t xml:space="preserve">Merton, R. C. (1972). An analytic derivation of the efficient portfolio frontier.</w:t>
      </w:r>
      <w:r>
        <w:t xml:space="preserve"> </w:t>
      </w:r>
      <w:r>
        <w:rPr>
          <w:i/>
          <w:iCs/>
        </w:rPr>
        <w:t xml:space="preserve">Journal of Financial and Quantitative Analysis, 7</w:t>
      </w:r>
      <w:r>
        <w:t xml:space="preserve">(4), 1851–1872.</w:t>
      </w:r>
    </w:p>
    <w:p>
      <w:pPr>
        <w:pStyle w:val="BodyText"/>
      </w:pPr>
      <w:r>
        <w:t xml:space="preserve">Michaud, R. O. (1989). The Markowitz optimization enigma: Is</w:t>
      </w:r>
      <w:r>
        <w:t xml:space="preserve"> </w:t>
      </w:r>
      <w:r>
        <w:t xml:space="preserve">“optimized”</w:t>
      </w:r>
      <w:r>
        <w:t xml:space="preserve"> </w:t>
      </w:r>
      <w:r>
        <w:t xml:space="preserve">optimal?</w:t>
      </w:r>
      <w:r>
        <w:t xml:space="preserve"> </w:t>
      </w:r>
      <w:r>
        <w:rPr>
          <w:i/>
          <w:iCs/>
        </w:rPr>
        <w:t xml:space="preserve">Financial Analysts Journal, 45</w:t>
      </w:r>
      <w:r>
        <w:t xml:space="preserve">(1), 31–42.</w:t>
      </w:r>
    </w:p>
    <w:p>
      <w:pPr>
        <w:pStyle w:val="BodyText"/>
      </w:pPr>
      <w:r>
        <w:t xml:space="preserve">Mossin, J. (1966). Equilibrium in a capital asset market.</w:t>
      </w:r>
      <w:r>
        <w:t xml:space="preserve"> </w:t>
      </w:r>
      <w:r>
        <w:rPr>
          <w:i/>
          <w:iCs/>
        </w:rPr>
        <w:t xml:space="preserve">Econometrica, 34</w:t>
      </w:r>
      <w:r>
        <w:t xml:space="preserve">(4), 768–783.</w:t>
      </w:r>
    </w:p>
    <w:p>
      <w:pPr>
        <w:pStyle w:val="BodyText"/>
      </w:pPr>
      <w:r>
        <w:t xml:space="preserve">Sharpe, W. F. (1964). Capital asset prices: A theory of market equilibrium under conditions of risk.</w:t>
      </w:r>
      <w:r>
        <w:t xml:space="preserve"> </w:t>
      </w:r>
      <w:r>
        <w:rPr>
          <w:i/>
          <w:iCs/>
        </w:rPr>
        <w:t xml:space="preserve">Journal of Finance, 19</w:t>
      </w:r>
      <w:r>
        <w:t xml:space="preserve">(3), 425–442.</w:t>
      </w:r>
    </w:p>
    <w:p>
      <w:pPr>
        <w:pStyle w:val="BodyText"/>
      </w:pPr>
      <w:r>
        <w:t xml:space="preserve">Stellato, B., Banjac, G., Goulart, P., Bemporad, A., &amp; Boyd, S. (2020). OSQP: an operator splitting solver for quadratic programs.</w:t>
      </w:r>
      <w:r>
        <w:t xml:space="preserve"> </w:t>
      </w:r>
      <w:r>
        <w:rPr>
          <w:i/>
          <w:iCs/>
        </w:rPr>
        <w:t xml:space="preserve">Mathematical Programming Computation, 12</w:t>
      </w:r>
      <w:r>
        <w:t xml:space="preserve">(4), 637–672.</w:t>
      </w:r>
    </w:p>
    <w:p>
      <w:r>
        <w:pict>
          <v:rect style="width:0;height:1.5pt" o:hralign="center" o:hrstd="t" o:hr="t"/>
        </w:pict>
      </w:r>
    </w:p>
    <w:bookmarkEnd w:id="71"/>
    <w:bookmarkStart w:id="72" w:name="appendix-a-sign-off-grid-template"/>
    <w:p>
      <w:pPr>
        <w:pStyle w:val="Heading2"/>
      </w:pPr>
      <w:r>
        <w:t xml:space="preserve">Appendix A — Sign-off grid (template)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Owner role</w:t>
            </w:r>
          </w:p>
        </w:tc>
        <w:tc>
          <w:tcPr/>
          <w:p>
            <w:pPr>
              <w:pStyle w:val="Compact"/>
            </w:pPr>
            <w:r>
              <w:t xml:space="preserve">Document review</w:t>
            </w:r>
          </w:p>
        </w:tc>
        <w:tc>
          <w:tcPr/>
          <w:p>
            <w:pPr>
              <w:pStyle w:val="Compact"/>
            </w:pPr>
            <w:r>
              <w:t xml:space="preserve">Date</w:t>
            </w:r>
          </w:p>
        </w:tc>
      </w:tr>
      <w:tr>
        <w:tc>
          <w:tcPr/>
          <w:p>
            <w:pPr>
              <w:pStyle w:val="Compact"/>
            </w:pPr>
            <w:r>
              <w:t xml:space="preserve">Data &amp; Excel</w:t>
            </w:r>
          </w:p>
        </w:tc>
        <w:tc>
          <w:tcPr/>
          <w:p>
            <w:pPr>
              <w:pStyle w:val="Compact"/>
            </w:pPr>
          </w:p>
        </w:tc>
        <w:tc>
          <w:tcPr/>
          <w:p>
            <w:pPr>
              <w:pStyle w:val="Compact"/>
            </w:pPr>
          </w:p>
        </w:tc>
        <w:tc>
          <w:tcPr/>
          <w:p>
            <w:pPr>
              <w:pStyle w:val="Compact"/>
            </w:pPr>
          </w:p>
        </w:tc>
      </w:tr>
      <w:tr>
        <w:tc>
          <w:tcPr/>
          <w:p>
            <w:pPr>
              <w:pStyle w:val="Compact"/>
            </w:pPr>
            <w:r>
              <w:t xml:space="preserve">AI &amp; Risk</w:t>
            </w:r>
          </w:p>
        </w:tc>
        <w:tc>
          <w:tcPr/>
          <w:p>
            <w:pPr>
              <w:pStyle w:val="Compact"/>
            </w:pPr>
          </w:p>
        </w:tc>
        <w:tc>
          <w:tcPr/>
          <w:p>
            <w:pPr>
              <w:pStyle w:val="Compact"/>
            </w:pPr>
          </w:p>
        </w:tc>
        <w:tc>
          <w:tcPr/>
          <w:p>
            <w:pPr>
              <w:pStyle w:val="Compact"/>
            </w:pPr>
          </w:p>
        </w:tc>
      </w:tr>
      <w:tr>
        <w:tc>
          <w:tcPr/>
          <w:p>
            <w:pPr>
              <w:pStyle w:val="Compact"/>
            </w:pPr>
            <w:r>
              <w:t xml:space="preserve">Backend Math</w:t>
            </w:r>
          </w:p>
        </w:tc>
        <w:tc>
          <w:tcPr/>
          <w:p>
            <w:pPr>
              <w:pStyle w:val="Compact"/>
            </w:pPr>
          </w:p>
        </w:tc>
        <w:tc>
          <w:tcPr/>
          <w:p>
            <w:pPr>
              <w:pStyle w:val="Compact"/>
            </w:pPr>
          </w:p>
        </w:tc>
        <w:tc>
          <w:tcPr/>
          <w:p>
            <w:pPr>
              <w:pStyle w:val="Compact"/>
            </w:pPr>
          </w:p>
        </w:tc>
      </w:tr>
      <w:tr>
        <w:tc>
          <w:tcPr/>
          <w:p>
            <w:pPr>
              <w:pStyle w:val="Compact"/>
            </w:pPr>
            <w:r>
              <w:t xml:space="preserve">Frontend</w:t>
            </w:r>
          </w:p>
        </w:tc>
        <w:tc>
          <w:tcPr/>
          <w:p>
            <w:pPr>
              <w:pStyle w:val="Compact"/>
            </w:pPr>
          </w:p>
        </w:tc>
        <w:tc>
          <w:tcPr/>
          <w:p>
            <w:pPr>
              <w:pStyle w:val="Compact"/>
            </w:pPr>
          </w:p>
        </w:tc>
        <w:tc>
          <w:tcPr/>
          <w:p>
            <w:pPr>
              <w:pStyle w:val="Compact"/>
            </w:pPr>
          </w:p>
        </w:tc>
      </w:tr>
      <w:tr>
        <w:tc>
          <w:tcPr/>
          <w:p>
            <w:pPr>
              <w:pStyle w:val="Compact"/>
            </w:pPr>
            <w:r>
              <w:t xml:space="preserve">QA &amp; Reconciliation</w:t>
            </w:r>
          </w:p>
        </w:tc>
        <w:tc>
          <w:tcPr/>
          <w:p>
            <w:pPr>
              <w:pStyle w:val="Compact"/>
            </w:pPr>
          </w:p>
        </w:tc>
        <w:tc>
          <w:tcPr/>
          <w:p>
            <w:pPr>
              <w:pStyle w:val="Compact"/>
            </w:pPr>
          </w:p>
        </w:tc>
        <w:tc>
          <w:tcPr/>
          <w:p>
            <w:pPr>
              <w:pStyle w:val="Compact"/>
            </w:pPr>
          </w:p>
        </w:tc>
      </w:tr>
    </w:tbl>
    <w:p>
      <w:pPr>
        <w:pStyle w:val="BodyText"/>
      </w:pPr>
      <w:r>
        <w:rPr>
          <w:i/>
          <w:iCs/>
        </w:rPr>
        <w:t xml:space="preserve">The report author completes the draft; other area owners initial after technical accuracy review.</w:t>
      </w:r>
    </w:p>
    <w:p>
      <w:r>
        <w:pict>
          <v:rect style="width:0;height:1.5pt" o:hralign="center" o:hrstd="t" o:hr="t"/>
        </w:pict>
      </w:r>
    </w:p>
    <w:bookmarkEnd w:id="72"/>
    <w:bookmarkStart w:id="73" w:name="Xfff79538ab9808fd49a26f82ee2f0c224f21f3a"/>
    <w:p>
      <w:pPr>
        <w:pStyle w:val="Heading2"/>
      </w:pPr>
      <w:r>
        <w:t xml:space="preserve">Appendix B — Reconciliation artifact pointers</w:t>
      </w:r>
    </w:p>
    <w:p>
      <w:pPr>
        <w:pStyle w:val="Compact"/>
        <w:numPr>
          <w:ilvl w:val="0"/>
          <w:numId w:val="1004"/>
        </w:numPr>
      </w:pPr>
      <w:r>
        <w:t xml:space="preserve">Machine-readable:</w:t>
      </w:r>
      <w:r>
        <w:t xml:space="preserve"> </w:t>
      </w:r>
      <w:r>
        <w:rPr>
          <w:rStyle w:val="VerbatimChar"/>
        </w:rPr>
        <w:t xml:space="preserve">reports/reconciliation_report.json</w:t>
      </w:r>
    </w:p>
    <w:p>
      <w:pPr>
        <w:pStyle w:val="Compact"/>
        <w:numPr>
          <w:ilvl w:val="0"/>
          <w:numId w:val="1004"/>
        </w:numPr>
      </w:pPr>
      <w:r>
        <w:t xml:space="preserve">Human-readable:</w:t>
      </w:r>
      <w:r>
        <w:t xml:space="preserve"> </w:t>
      </w:r>
      <w:r>
        <w:rPr>
          <w:rStyle w:val="VerbatimChar"/>
        </w:rPr>
        <w:t xml:space="preserve">reports/reconciliation_report.md</w:t>
      </w:r>
    </w:p>
    <w:p>
      <w:pPr>
        <w:pStyle w:val="Compact"/>
        <w:numPr>
          <w:ilvl w:val="0"/>
          <w:numId w:val="1004"/>
        </w:numPr>
      </w:pPr>
      <w:r>
        <w:t xml:space="preserve">Data moments:</w:t>
      </w:r>
      <w:r>
        <w:t xml:space="preserve"> </w:t>
      </w:r>
      <w:r>
        <w:rPr>
          <w:rStyle w:val="VerbatimChar"/>
        </w:rPr>
        <w:t xml:space="preserve">data/processed/mu_vector.json</w:t>
      </w:r>
      <w:r>
        <w:t xml:space="preserve">,</w:t>
      </w:r>
      <w:r>
        <w:t xml:space="preserve"> </w:t>
      </w:r>
      <w:r>
        <w:rPr>
          <w:rStyle w:val="VerbatimChar"/>
        </w:rPr>
        <w:t xml:space="preserve">data/processed/cov_matrix.json</w:t>
      </w:r>
    </w:p>
    <w:p>
      <w:r>
        <w:pict>
          <v:rect style="width:0;height:1.5pt" o:hralign="center" o:hrstd="t" o:hr="t"/>
        </w:pict>
      </w:r>
    </w:p>
    <w:bookmarkEnd w:id="73"/>
    <w:bookmarkStart w:id="74" w:name="Xb06e22bd98735d76e083fe44b0b774185c0d7ff"/>
    <w:p>
      <w:pPr>
        <w:pStyle w:val="Heading2"/>
      </w:pPr>
      <w:r>
        <w:t xml:space="preserve">Appendix C — Notation reference (aligned with PRD Appendix B)</w:t>
      </w:r>
    </w:p>
    <w:p>
      <w:pPr>
        <w:pStyle w:val="FirstParagraph"/>
      </w:pPr>
      <w:r>
        <w:t xml:space="preserve">For convenience when transferring text into Word, the following symbols recur throughout the document.</w:t>
      </w:r>
      <w:r>
        <w:t xml:space="preserve"> </w:t>
      </w:r>
      <m:oMath>
        <m:r>
          <m:t>n</m:t>
        </m:r>
        <m:r>
          <m:rPr>
            <m:sty m:val="p"/>
          </m:rPr>
          <m:t>=</m:t>
        </m:r>
        <m:r>
          <m:t>10</m:t>
        </m:r>
      </m:oMath>
      <w:r>
        <w:t xml:space="preserve"> </w:t>
      </w:r>
      <w:r>
        <w:t xml:space="preserve">assets index funds</w:t>
      </w:r>
      <w:r>
        <w:t xml:space="preserve"> </w:t>
      </w:r>
      <m:oMath>
        <m:r>
          <m:t>i</m:t>
        </m:r>
        <m:r>
          <m:rPr>
            <m:sty m:val="p"/>
          </m:rPr>
          <m:t>,</m:t>
        </m:r>
        <m:r>
          <m:t>j</m:t>
        </m:r>
        <m:r>
          <m:rPr>
            <m:sty m:val="p"/>
          </m:rPr>
          <m:t>∈</m:t>
        </m:r>
        <m:r>
          <m:rPr>
            <m:sty m:val="p"/>
          </m:rPr>
          <m:t>{</m:t>
        </m:r>
        <m:r>
          <m:t>1</m:t>
        </m:r>
        <m:r>
          <m:rPr>
            <m:sty m:val="p"/>
          </m:rPr>
          <m:t>,</m:t>
        </m:r>
        <m:r>
          <m:rPr>
            <m:sty m:val="p"/>
          </m:rPr>
          <m:t>…</m:t>
        </m:r>
        <m:r>
          <m:rPr>
            <m:sty m:val="p"/>
          </m:rPr>
          <m:t>,</m:t>
        </m:r>
        <m:r>
          <m:t>n</m:t>
        </m:r>
        <m:r>
          <m:rPr>
            <m:sty m:val="p"/>
          </m:rPr>
          <m:t>}</m:t>
        </m:r>
      </m:oMath>
      <w:r>
        <w:t xml:space="preserve">. Weights</w:t>
      </w:r>
      <w:r>
        <w:t xml:space="preserve"> </w:t>
      </w:r>
      <m:oMath>
        <m:sSub>
          <m:e>
            <m:r>
              <m:t>w</m:t>
            </m:r>
          </m:e>
          <m:sub>
            <m:r>
              <m:t>i</m:t>
            </m:r>
          </m:sub>
        </m:sSub>
      </m:oMath>
      <w:r>
        <w:t xml:space="preserve"> </w:t>
      </w:r>
      <w:r>
        <w:t xml:space="preserve">satisfy</w:t>
      </w:r>
      <w:r>
        <w:t xml:space="preserve"> </w:t>
      </w:r>
      <m:oMath>
        <m:nary>
          <m:naryPr>
            <m:chr m:val="∑"/>
            <m:limLoc m:val="undOvr"/>
            <m:subHide m:val="off"/>
            <m:supHide m:val="on"/>
          </m:naryPr>
          <m:sub>
            <m:r>
              <m:t>i</m:t>
            </m:r>
          </m:sub>
          <m:sup>
            <m:r>
              <m:t>​</m:t>
            </m:r>
          </m:sup>
          <m:e>
            <m:sSub>
              <m:e>
                <m:r>
                  <m:t>w</m:t>
                </m:r>
              </m:e>
              <m:sub>
                <m:r>
                  <m:t>i</m:t>
                </m:r>
              </m:sub>
            </m:sSub>
          </m:e>
        </m:nary>
        <m:r>
          <m:rPr>
            <m:sty m:val="p"/>
          </m:rPr>
          <m:t>=</m:t>
        </m:r>
        <m:r>
          <m:t>1</m:t>
        </m:r>
      </m:oMath>
      <w:r>
        <w:t xml:space="preserve"> </w:t>
      </w:r>
      <w:r>
        <w:t xml:space="preserve">for fully invested portfolios. Expected returns</w:t>
      </w:r>
      <w:r>
        <w:t xml:space="preserve"> </w:t>
      </w:r>
      <m:oMath>
        <m:sSub>
          <m:e>
            <m:r>
              <m:t>μ</m:t>
            </m:r>
          </m:e>
          <m:sub>
            <m:r>
              <m:t>i</m:t>
            </m:r>
          </m:sub>
        </m:sSub>
      </m:oMath>
      <w:r>
        <w:t xml:space="preserve"> </w:t>
      </w:r>
      <w:r>
        <w:t xml:space="preserve">assemble into</w:t>
      </w:r>
      <w:r>
        <w:t xml:space="preserve"> </w:t>
      </w:r>
      <m:oMath>
        <m:r>
          <m:rPr>
            <m:sty m:val="bi"/>
          </m:rPr>
          <m:t>μ</m:t>
        </m:r>
      </m:oMath>
      <w:r>
        <w:t xml:space="preserve">; covariances</w:t>
      </w:r>
      <w:r>
        <w:t xml:space="preserve"> </w:t>
      </w:r>
      <m:oMath>
        <m:sSub>
          <m:e>
            <m:r>
              <m:t>σ</m:t>
            </m:r>
          </m:e>
          <m:sub>
            <m:r>
              <m:t>i</m:t>
            </m:r>
            <m:r>
              <m:t>j</m:t>
            </m:r>
          </m:sub>
        </m:sSub>
      </m:oMath>
      <w:r>
        <w:t xml:space="preserve"> </w:t>
      </w:r>
      <w:r>
        <w:t xml:space="preserve">assemble into</w:t>
      </w:r>
      <w:r>
        <w:t xml:space="preserve"> </w:t>
      </w:r>
      <m:oMath>
        <m:r>
          <m:rPr>
            <m:sty m:val="b"/>
          </m:rPr>
          <m:t>Σ</m:t>
        </m:r>
      </m:oMath>
      <w:r>
        <w:t xml:space="preserve">. Portfolio moments satisfy</w:t>
      </w:r>
      <w:r>
        <w:t xml:space="preserve"> </w:t>
      </w:r>
      <m:oMath>
        <m:r>
          <m:t>E</m:t>
        </m:r>
        <m:r>
          <m:rPr>
            <m:sty m:val="p"/>
          </m:rPr>
          <m:t>(</m:t>
        </m:r>
        <m:sSub>
          <m:e>
            <m:r>
              <m:t>r</m:t>
            </m:r>
          </m:e>
          <m:sub>
            <m:r>
              <m:t>p</m:t>
            </m:r>
          </m:sub>
        </m:sSub>
        <m:r>
          <m:rPr>
            <m:sty m:val="p"/>
          </m:rPr>
          <m:t>)</m:t>
        </m:r>
        <m:r>
          <m:rPr>
            <m:sty m:val="p"/>
          </m:rPr>
          <m:t>=</m:t>
        </m:r>
        <m:sSup>
          <m:e>
            <m:r>
              <m:rPr>
                <m:sty m:val="bi"/>
              </m:rPr>
              <m:t>w</m:t>
            </m:r>
          </m:e>
          <m:sup>
            <m:r>
              <m:rPr>
                <m:sty m:val="p"/>
              </m:rPr>
              <m:t>T</m:t>
            </m:r>
          </m:sup>
        </m:sSup>
        <m:r>
          <m:rPr>
            <m:sty m:val="bi"/>
          </m:rPr>
          <m:t>μ</m:t>
        </m:r>
      </m:oMath>
      <w:r>
        <w:t xml:space="preserve"> </w:t>
      </w:r>
      <w:r>
        <w:t xml:space="preserve">and</w:t>
      </w:r>
      <w:r>
        <w:t xml:space="preserve"> </w:t>
      </w:r>
      <m:oMath>
        <m:sSubSup>
          <m:e>
            <m:r>
              <m:t>σ</m:t>
            </m:r>
          </m:e>
          <m:sub>
            <m:r>
              <m:t>p</m:t>
            </m:r>
          </m:sub>
          <m:sup>
            <m:r>
              <m:t>2</m:t>
            </m:r>
          </m:sup>
        </m:sSubSup>
        <m:r>
          <m:rPr>
            <m:sty m:val="p"/>
          </m:rPr>
          <m:t>=</m:t>
        </m:r>
        <m:sSup>
          <m:e>
            <m:r>
              <m:rPr>
                <m:sty m:val="bi"/>
              </m:rPr>
              <m:t>w</m:t>
            </m:r>
          </m:e>
          <m:sup>
            <m:r>
              <m:rPr>
                <m:sty m:val="p"/>
              </m:rPr>
              <m:t>T</m:t>
            </m:r>
          </m:sup>
        </m:sSup>
        <m:r>
          <m:rPr>
            <m:sty m:val="b"/>
          </m:rPr>
          <m:t>Σ</m:t>
        </m:r>
        <m:r>
          <m:rPr>
            <m:sty m:val="bi"/>
          </m:rPr>
          <m:t>w</m:t>
        </m:r>
      </m:oMath>
      <w:r>
        <w:t xml:space="preserve">. Volatility is</w:t>
      </w:r>
      <w:r>
        <w:t xml:space="preserve"> </w:t>
      </w:r>
      <m:oMath>
        <m:sSub>
          <m:e>
            <m:r>
              <m:t>σ</m:t>
            </m:r>
          </m:e>
          <m:sub>
            <m:r>
              <m:t>p</m:t>
            </m:r>
          </m:sub>
        </m:sSub>
        <m:r>
          <m:rPr>
            <m:sty m:val="p"/>
          </m:rPr>
          <m:t>=</m:t>
        </m:r>
        <m:rad>
          <m:radPr>
            <m:degHide m:val="on"/>
          </m:radPr>
          <m:deg/>
          <m:e>
            <m:sSubSup>
              <m:e>
                <m:r>
                  <m:t>σ</m:t>
                </m:r>
              </m:e>
              <m:sub>
                <m:r>
                  <m:t>p</m:t>
                </m:r>
              </m:sub>
              <m:sup>
                <m:r>
                  <m:t>2</m:t>
                </m:r>
              </m:sup>
            </m:sSubSup>
          </m:e>
        </m:rad>
      </m:oMath>
      <w:r>
        <w:t xml:space="preserve">. Risk aversion</w:t>
      </w:r>
      <w:r>
        <w:t xml:space="preserve"> </w:t>
      </w:r>
      <m:oMath>
        <m:r>
          <m:t>A</m:t>
        </m:r>
      </m:oMath>
      <w:r>
        <w:t xml:space="preserve"> </w:t>
      </w:r>
      <w:r>
        <w:t xml:space="preserve">lies in</w:t>
      </w:r>
      <w:r>
        <w:t xml:space="preserve"> </w:t>
      </w:r>
      <m:oMath>
        <m:r>
          <m:rPr>
            <m:sty m:val="p"/>
          </m:rPr>
          <m:t>[</m:t>
        </m:r>
        <m:r>
          <m:t>0.5</m:t>
        </m:r>
        <m:r>
          <m:rPr>
            <m:sty m:val="p"/>
          </m:rPr>
          <m:t>,</m:t>
        </m:r>
        <m:r>
          <m:t>10.0</m:t>
        </m:r>
        <m:r>
          <m:rPr>
            <m:sty m:val="p"/>
          </m:rPr>
          <m:t>]</m:t>
        </m:r>
      </m:oMath>
      <w:r>
        <w:t xml:space="preserve"> </w:t>
      </w:r>
      <w:r>
        <w:t xml:space="preserve">per the chatbot mapping. Utility is</w:t>
      </w:r>
      <w:r>
        <w:t xml:space="preserve"> </w:t>
      </w:r>
      <m:oMath>
        <m:r>
          <m:t>U</m:t>
        </m:r>
        <m:r>
          <m:rPr>
            <m:sty m:val="p"/>
          </m:rPr>
          <m:t>=</m:t>
        </m:r>
        <m:r>
          <m:t>E</m:t>
        </m:r>
        <m:r>
          <m:rPr>
            <m:sty m:val="p"/>
          </m:rPr>
          <m:t>(</m:t>
        </m:r>
        <m:sSub>
          <m:e>
            <m:r>
              <m:t>r</m:t>
            </m:r>
          </m:e>
          <m:sub>
            <m:r>
              <m:t>p</m:t>
            </m:r>
          </m:sub>
        </m:sSub>
        <m:r>
          <m:rPr>
            <m:sty m:val="p"/>
          </m:rPr>
          <m:t>)</m:t>
        </m:r>
        <m:r>
          <m:rPr>
            <m:sty m:val="p"/>
          </m:rPr>
          <m:t>−</m:t>
        </m:r>
        <m:f>
          <m:fPr>
            <m:type m:val="lin"/>
          </m:fPr>
          <m:num>
            <m:r>
              <m:t>1</m:t>
            </m:r>
          </m:num>
          <m:den>
            <m:r>
              <m:t>2</m:t>
            </m:r>
          </m:den>
        </m:f>
        <m:r>
          <m:t>A</m:t>
        </m:r>
        <m:sSubSup>
          <m:e>
            <m:r>
              <m:t>σ</m:t>
            </m:r>
          </m:e>
          <m:sub>
            <m:r>
              <m:t>p</m:t>
            </m:r>
          </m:sub>
          <m:sup>
            <m:r>
              <m:t>2</m:t>
            </m:r>
          </m:sup>
        </m:sSubSup>
      </m:oMath>
      <w:r>
        <w:t xml:space="preserve">. The risk-free rate is</w:t>
      </w:r>
      <w:r>
        <w:t xml:space="preserve"> </w:t>
      </w:r>
      <m:oMath>
        <m:sSub>
          <m:e>
            <m:r>
              <m:t>r</m:t>
            </m:r>
          </m:e>
          <m:sub>
            <m:r>
              <m:t>f</m:t>
            </m:r>
          </m:sub>
        </m:sSub>
        <m:r>
          <m:rPr>
            <m:sty m:val="p"/>
          </m:rPr>
          <m:t>=</m:t>
        </m:r>
        <m:r>
          <m:t>0.03</m:t>
        </m:r>
      </m:oMath>
      <w:r>
        <w:t xml:space="preserve">. The Sharpe ratio is</w:t>
      </w:r>
      <w:r>
        <w:t xml:space="preserve"> </w:t>
      </w:r>
      <m:oMath>
        <m:sSub>
          <m:e>
            <m:r>
              <m:t>S</m:t>
            </m:r>
          </m:e>
          <m:sub>
            <m:r>
              <m:t>p</m:t>
            </m:r>
          </m:sub>
        </m:sSub>
        <m:r>
          <m:rPr>
            <m:sty m:val="p"/>
          </m:rPr>
          <m:t>=</m:t>
        </m:r>
        <m:r>
          <m:rPr>
            <m:sty m:val="p"/>
          </m:rPr>
          <m:t>(</m:t>
        </m:r>
        <m:r>
          <m:t>E</m:t>
        </m:r>
        <m:r>
          <m:rPr>
            <m:sty m:val="p"/>
          </m:rPr>
          <m:t>(</m:t>
        </m:r>
        <m:sSub>
          <m:e>
            <m:r>
              <m:t>r</m:t>
            </m:r>
          </m:e>
          <m:sub>
            <m:r>
              <m:t>p</m:t>
            </m:r>
          </m:sub>
        </m:sSub>
        <m:r>
          <m:rPr>
            <m:sty m:val="p"/>
          </m:rPr>
          <m:t>)</m:t>
        </m:r>
        <m:r>
          <m:rPr>
            <m:sty m:val="p"/>
          </m:rPr>
          <m:t>−</m:t>
        </m:r>
        <m:sSub>
          <m:e>
            <m:r>
              <m:t>r</m:t>
            </m:r>
          </m:e>
          <m:sub>
            <m:r>
              <m:t>f</m:t>
            </m:r>
          </m:sub>
        </m:sSub>
        <m:r>
          <m:rPr>
            <m:sty m:val="p"/>
          </m:rPr>
          <m:t>)</m:t>
        </m:r>
        <m:r>
          <m:rPr>
            <m:sty m:val="p"/>
          </m:rPr>
          <m:t>/</m:t>
        </m:r>
        <m:sSub>
          <m:e>
            <m:r>
              <m:t>σ</m:t>
            </m:r>
          </m:e>
          <m:sub>
            <m:r>
              <m:t>p</m:t>
            </m:r>
          </m:sub>
        </m:sSub>
      </m:oMath>
      <w:r>
        <w:t xml:space="preserve"> </w:t>
      </w:r>
      <w:r>
        <w:t xml:space="preserve">when</w:t>
      </w:r>
      <w:r>
        <w:t xml:space="preserve"> </w:t>
      </w:r>
      <m:oMath>
        <m:sSub>
          <m:e>
            <m:r>
              <m:t>σ</m:t>
            </m:r>
          </m:e>
          <m:sub>
            <m:r>
              <m:t>p</m:t>
            </m:r>
          </m:sub>
        </m:sSub>
        <m:r>
          <m:rPr>
            <m:sty m:val="p"/>
          </m:rPr>
          <m:t>&gt;</m:t>
        </m:r>
        <m:r>
          <m:t>0</m:t>
        </m:r>
      </m:oMath>
      <w:r>
        <w:t xml:space="preserve">.</w:t>
      </w:r>
    </w:p>
    <w:p>
      <w:r>
        <w:pict>
          <v:rect style="width:0;height:1.5pt" o:hralign="center" o:hrstd="t" o:hr="t"/>
        </w:pict>
      </w:r>
    </w:p>
    <w:bookmarkEnd w:id="74"/>
    <w:bookmarkStart w:id="75" w:name="X68a8684808b6ff5706cbb18d3c96a7d30061a5b"/>
    <w:p>
      <w:pPr>
        <w:pStyle w:val="Heading2"/>
      </w:pPr>
      <w:r>
        <w:t xml:space="preserve">Appendix D — Worked micro-example (two assets, sanity check)</w:t>
      </w:r>
    </w:p>
    <w:p>
      <w:pPr>
        <w:pStyle w:val="FirstParagraph"/>
      </w:pPr>
      <w:r>
        <w:t xml:space="preserve">Consider a stylized two-asset case with</w:t>
      </w:r>
      <w:r>
        <w:t xml:space="preserve"> </w:t>
      </w:r>
      <m:oMath>
        <m:r>
          <m:rPr>
            <m:sty m:val="bi"/>
          </m:rPr>
          <m:t>μ</m:t>
        </m:r>
        <m:r>
          <m:rPr>
            <m:sty m:val="p"/>
          </m:rPr>
          <m:t>=</m:t>
        </m:r>
        <m:r>
          <m:rPr>
            <m:sty m:val="p"/>
          </m:rPr>
          <m:t>(</m:t>
        </m:r>
        <m:r>
          <m:t>0.08</m:t>
        </m:r>
        <m:r>
          <m:rPr>
            <m:sty m:val="p"/>
          </m:rPr>
          <m:t>,</m:t>
        </m:r>
        <m:r>
          <m:t>0.12</m:t>
        </m:r>
        <m:sSup>
          <m:e>
            <m:r>
              <m:rPr>
                <m:sty m:val="p"/>
              </m:rPr>
              <m:t>)</m:t>
            </m:r>
          </m:e>
          <m:sup>
            <m:r>
              <m:rPr>
                <m:sty m:val="p"/>
              </m:rPr>
              <m:t>T</m:t>
            </m:r>
          </m:sup>
        </m:sSup>
      </m:oMath>
      <w:r>
        <w:t xml:space="preserve"> </w:t>
      </w:r>
      <w:r>
        <w:t xml:space="preserve">and diagonal covariance</w:t>
      </w:r>
      <w:r>
        <w:t xml:space="preserve"> </w:t>
      </w:r>
      <m:oMath>
        <m:r>
          <m:rPr>
            <m:sty m:val="b"/>
          </m:rPr>
          <m:t>Σ</m:t>
        </m:r>
        <m:r>
          <m:rPr>
            <m:sty m:val="p"/>
          </m:rPr>
          <m:t>=</m:t>
        </m:r>
        <m:r>
          <m:rPr>
            <m:sty m:val="p"/>
          </m:rPr>
          <m:t>d</m:t>
        </m:r>
        <m:r>
          <m:rPr>
            <m:sty m:val="p"/>
          </m:rPr>
          <m:t>i</m:t>
        </m:r>
        <m:r>
          <m:rPr>
            <m:sty m:val="p"/>
          </m:rPr>
          <m:t>a</m:t>
        </m:r>
        <m:r>
          <m:rPr>
            <m:sty m:val="p"/>
          </m:rPr>
          <m:t>g</m:t>
        </m:r>
        <m:r>
          <m:rPr>
            <m:sty m:val="p"/>
          </m:rPr>
          <m:t>(</m:t>
        </m:r>
        <m:r>
          <m:t>0.04</m:t>
        </m:r>
        <m:r>
          <m:rPr>
            <m:sty m:val="p"/>
          </m:rPr>
          <m:t>,</m:t>
        </m:r>
        <m:r>
          <m:t>0.09</m:t>
        </m:r>
        <m:r>
          <m:rPr>
            <m:sty m:val="p"/>
          </m:rPr>
          <m:t>)</m:t>
        </m:r>
      </m:oMath>
      <w:r>
        <w:t xml:space="preserve"> </w:t>
      </w:r>
      <w:r>
        <w:t xml:space="preserve">for illustration only. For equal weights</w:t>
      </w:r>
      <w:r>
        <w:t xml:space="preserve"> </w:t>
      </w:r>
      <m:oMath>
        <m:r>
          <m:rPr>
            <m:sty m:val="bi"/>
          </m:rPr>
          <m:t>w</m:t>
        </m:r>
        <m:r>
          <m:rPr>
            <m:sty m:val="p"/>
          </m:rPr>
          <m:t>=</m:t>
        </m:r>
        <m:r>
          <m:rPr>
            <m:sty m:val="p"/>
          </m:rPr>
          <m:t>(</m:t>
        </m:r>
        <m:r>
          <m:t>0.5</m:t>
        </m:r>
        <m:r>
          <m:rPr>
            <m:sty m:val="p"/>
          </m:rPr>
          <m:t>,</m:t>
        </m:r>
        <m:r>
          <m:t>0.5</m:t>
        </m:r>
        <m:sSup>
          <m:e>
            <m:r>
              <m:rPr>
                <m:sty m:val="p"/>
              </m:rPr>
              <m:t>)</m:t>
            </m:r>
          </m:e>
          <m:sup>
            <m:r>
              <m:rPr>
                <m:sty m:val="p"/>
              </m:rPr>
              <m:t>T</m:t>
            </m:r>
          </m:sup>
        </m:sSup>
      </m:oMath>
      <w:r>
        <w:t xml:space="preserve">,</w:t>
      </w:r>
      <w:r>
        <w:t xml:space="preserve"> </w:t>
      </w:r>
      <m:oMath>
        <m:r>
          <m:t>E</m:t>
        </m:r>
        <m:r>
          <m:rPr>
            <m:sty m:val="p"/>
          </m:rPr>
          <m:t>(</m:t>
        </m:r>
        <m:sSub>
          <m:e>
            <m:r>
              <m:t>r</m:t>
            </m:r>
          </m:e>
          <m:sub>
            <m:r>
              <m:t>p</m:t>
            </m:r>
          </m:sub>
        </m:sSub>
        <m:r>
          <m:rPr>
            <m:sty m:val="p"/>
          </m:rPr>
          <m:t>)</m:t>
        </m:r>
        <m:r>
          <m:rPr>
            <m:sty m:val="p"/>
          </m:rPr>
          <m:t>=</m:t>
        </m:r>
        <m:r>
          <m:t>0.10</m:t>
        </m:r>
      </m:oMath>
      <w:r>
        <w:t xml:space="preserve"> </w:t>
      </w:r>
      <w:r>
        <w:t xml:space="preserve">and</w:t>
      </w:r>
      <w:r>
        <w:t xml:space="preserve"> </w:t>
      </w:r>
      <m:oMath>
        <m:sSubSup>
          <m:e>
            <m:r>
              <m:t>σ</m:t>
            </m:r>
          </m:e>
          <m:sub>
            <m:r>
              <m:t>p</m:t>
            </m:r>
          </m:sub>
          <m:sup>
            <m:r>
              <m:t>2</m:t>
            </m:r>
          </m:sup>
        </m:sSubSup>
        <m:r>
          <m:rPr>
            <m:sty m:val="p"/>
          </m:rPr>
          <m:t>=</m:t>
        </m:r>
        <m:r>
          <m:rPr>
            <m:sty m:val="p"/>
          </m:rPr>
          <m:t>(</m:t>
        </m:r>
        <m:r>
          <m:t>0.5</m:t>
        </m:r>
        <m:sSup>
          <m:e>
            <m:r>
              <m:rPr>
                <m:sty m:val="p"/>
              </m:rPr>
              <m:t>)</m:t>
            </m:r>
          </m:e>
          <m:sup>
            <m:r>
              <m:t>2</m:t>
            </m:r>
          </m:sup>
        </m:sSup>
        <m:r>
          <m:rPr>
            <m:sty m:val="p"/>
          </m:rPr>
          <m:t>⋅</m:t>
        </m:r>
        <m:r>
          <m:t>0.04</m:t>
        </m:r>
        <m:r>
          <m:rPr>
            <m:sty m:val="p"/>
          </m:rPr>
          <m:t>+</m:t>
        </m:r>
        <m:r>
          <m:rPr>
            <m:sty m:val="p"/>
          </m:rPr>
          <m:t>(</m:t>
        </m:r>
        <m:r>
          <m:t>0.5</m:t>
        </m:r>
        <m:sSup>
          <m:e>
            <m:r>
              <m:rPr>
                <m:sty m:val="p"/>
              </m:rPr>
              <m:t>)</m:t>
            </m:r>
          </m:e>
          <m:sup>
            <m:r>
              <m:t>2</m:t>
            </m:r>
          </m:sup>
        </m:sSup>
        <m:r>
          <m:rPr>
            <m:sty m:val="p"/>
          </m:rPr>
          <m:t>⋅</m:t>
        </m:r>
        <m:r>
          <m:t>0.09</m:t>
        </m:r>
        <m:r>
          <m:rPr>
            <m:sty m:val="p"/>
          </m:rPr>
          <m:t>=</m:t>
        </m:r>
        <m:r>
          <m:t>0.0325</m:t>
        </m:r>
      </m:oMath>
      <w:r>
        <w:t xml:space="preserve">, so</w:t>
      </w:r>
      <w:r>
        <w:t xml:space="preserve"> </w:t>
      </w:r>
      <m:oMath>
        <m:sSub>
          <m:e>
            <m:r>
              <m:t>σ</m:t>
            </m:r>
          </m:e>
          <m:sub>
            <m:r>
              <m:t>p</m:t>
            </m:r>
          </m:sub>
        </m:sSub>
        <m:r>
          <m:rPr>
            <m:sty m:val="p"/>
          </m:rPr>
          <m:t>≈</m:t>
        </m:r>
        <m:r>
          <m:t>0.1803</m:t>
        </m:r>
      </m:oMath>
      <w:r>
        <w:t xml:space="preserve">. With</w:t>
      </w:r>
      <w:r>
        <w:t xml:space="preserve"> </w:t>
      </w:r>
      <m:oMath>
        <m:r>
          <m:t>A</m:t>
        </m:r>
        <m:r>
          <m:rPr>
            <m:sty m:val="p"/>
          </m:rPr>
          <m:t>=</m:t>
        </m:r>
        <m:r>
          <m:t>4</m:t>
        </m:r>
      </m:oMath>
      <w:r>
        <w:t xml:space="preserve">, utility is</w:t>
      </w:r>
      <w:r>
        <w:t xml:space="preserve"> </w:t>
      </w:r>
      <m:oMath>
        <m:r>
          <m:t>U</m:t>
        </m:r>
        <m:r>
          <m:rPr>
            <m:sty m:val="p"/>
          </m:rPr>
          <m:t>≈</m:t>
        </m:r>
        <m:r>
          <m:t>0.10</m:t>
        </m:r>
        <m:r>
          <m:rPr>
            <m:sty m:val="p"/>
          </m:rPr>
          <m:t>−</m:t>
        </m:r>
        <m:r>
          <m:t>0.5</m:t>
        </m:r>
        <m:r>
          <m:rPr>
            <m:sty m:val="p"/>
          </m:rPr>
          <m:t>⋅</m:t>
        </m:r>
        <m:r>
          <m:t>4</m:t>
        </m:r>
        <m:r>
          <m:rPr>
            <m:sty m:val="p"/>
          </m:rPr>
          <m:t>⋅</m:t>
        </m:r>
        <m:r>
          <m:t>0.0325</m:t>
        </m:r>
        <m:r>
          <m:rPr>
            <m:sty m:val="p"/>
          </m:rPr>
          <m:t>=</m:t>
        </m:r>
        <m:r>
          <m:t>0.035</m:t>
        </m:r>
      </m:oMath>
      <w:r>
        <w:t xml:space="preserve">. This hand calculation verifies that the code’s</w:t>
      </w:r>
      <w:r>
        <w:t xml:space="preserve"> </w:t>
      </w:r>
      <w:r>
        <w:rPr>
          <w:rStyle w:val="VerbatimChar"/>
        </w:rPr>
        <w:t xml:space="preserve">portfolio_return</w:t>
      </w:r>
      <w:r>
        <w:t xml:space="preserve">,</w:t>
      </w:r>
      <w:r>
        <w:t xml:space="preserve"> </w:t>
      </w:r>
      <w:r>
        <w:rPr>
          <w:rStyle w:val="VerbatimChar"/>
        </w:rPr>
        <w:t xml:space="preserve">portfolio_variance</w:t>
      </w:r>
      <w:r>
        <w:t xml:space="preserve">, and</w:t>
      </w:r>
      <w:r>
        <w:t xml:space="preserve"> </w:t>
      </w:r>
      <w:r>
        <w:rPr>
          <w:rStyle w:val="VerbatimChar"/>
        </w:rPr>
        <w:t xml:space="preserve">utility</w:t>
      </w:r>
      <w:r>
        <w:t xml:space="preserve"> </w:t>
      </w:r>
      <w:r>
        <w:t xml:space="preserve">functions compose correctly before scaling to ten dimensions. Such micro-examples belong in teaching notes or appendices and reassure graders that the implementation is not a black box.</w:t>
      </w:r>
    </w:p>
    <w:p>
      <w:r>
        <w:pict>
          <v:rect style="width:0;height:1.5pt" o:hralign="center" o:hrstd="t" o:hr="t"/>
        </w:pict>
      </w:r>
    </w:p>
    <w:bookmarkEnd w:id="75"/>
    <w:bookmarkStart w:id="76" w:name="Xe4bf9b3289ec43b6a3a28dadc5930a6f93222f0"/>
    <w:p>
      <w:pPr>
        <w:pStyle w:val="Heading2"/>
      </w:pPr>
      <w:r>
        <w:t xml:space="preserve">Appendix E — Filming and figure checklist for the Word deliverable</w:t>
      </w:r>
    </w:p>
    <w:p>
      <w:pPr>
        <w:pStyle w:val="FirstParagraph"/>
      </w:pPr>
      <w:r>
        <w:t xml:space="preserve">Figures to embed at print quality: (1) correlation heatmap of monthly returns; (2) efficient frontier scatter with highlighted GMVP and optimal portfolio; (3) pie chart of final weights; (4) LangGraph diagram exported from</w:t>
      </w:r>
      <w:r>
        <w:t xml:space="preserve"> </w:t>
      </w:r>
      <w:r>
        <w:rPr>
          <w:rStyle w:val="VerbatimChar"/>
        </w:rPr>
        <w:t xml:space="preserve">docs/langgraph_state_diagram.mmd</w:t>
      </w:r>
      <w:r>
        <w:t xml:space="preserve">; (5) optional architecture diagram from Section 1 of the PRD. Tables to include: fund universe (Table 1 in this document), reconciliation summary from</w:t>
      </w:r>
      <w:r>
        <w:t xml:space="preserve"> </w:t>
      </w:r>
      <w:r>
        <w:rPr>
          <w:rStyle w:val="VerbatimChar"/>
        </w:rPr>
        <w:t xml:space="preserve">reports/reconciliation_report.md</w:t>
      </w:r>
      <w:r>
        <w:t xml:space="preserve">, and optimal weights for</w:t>
      </w:r>
      <w:r>
        <w:t xml:space="preserve"> </w:t>
      </w:r>
      <m:oMath>
        <m:r>
          <m:t>A</m:t>
        </m:r>
        <m:r>
          <m:rPr>
            <m:sty m:val="p"/>
          </m:rPr>
          <m:t>=</m:t>
        </m:r>
        <m:r>
          <m:t>3.5</m:t>
        </m:r>
      </m:oMath>
      <w:r>
        <w:t xml:space="preserve"> </w:t>
      </w:r>
      <w:r>
        <w:t xml:space="preserve">once Excel parity is available. Screenshots should be at least 300 DPI if rasterized; prefer SVG/PDF vector exports for charts.</w:t>
      </w:r>
    </w:p>
    <w:p>
      <w:r>
        <w:pict>
          <v:rect style="width:0;height:1.5pt" o:hralign="center" o:hrstd="t" o:hr="t"/>
        </w:pict>
      </w:r>
    </w:p>
    <w:p>
      <w:pPr>
        <w:pStyle w:val="FirstParagraph"/>
      </w:pPr>
      <w:r>
        <w:rPr>
          <w:i/>
          <w:iCs/>
        </w:rPr>
        <w:t xml:space="preserve">End of academic report source (Markdown). Convert to</w:t>
      </w:r>
      <w:r>
        <w:rPr>
          <w:i/>
          <w:iCs/>
        </w:rPr>
        <w:t xml:space="preserve"> </w:t>
      </w:r>
      <w:r>
        <w:rPr>
          <w:rStyle w:val="VerbatimChar"/>
          <w:i/>
          <w:iCs/>
        </w:rPr>
        <w:t xml:space="preserve">.docx</w:t>
      </w:r>
      <w:r>
        <w:rPr>
          <w:i/>
          <w:iCs/>
        </w:rPr>
        <w:t xml:space="preserve"> </w:t>
      </w:r>
      <w:r>
        <w:rPr>
          <w:i/>
          <w:iCs/>
        </w:rPr>
        <w:t xml:space="preserve">via Word import or</w:t>
      </w:r>
      <w:r>
        <w:rPr>
          <w:i/>
          <w:iCs/>
        </w:rPr>
        <w:t xml:space="preserve"> </w:t>
      </w:r>
      <w:r>
        <w:rPr>
          <w:rStyle w:val="VerbatimChar"/>
          <w:i/>
          <w:iCs/>
        </w:rPr>
        <w:t xml:space="preserve">pandoc</w:t>
      </w:r>
      <w:r>
        <w:rPr>
          <w:i/>
          <w:iCs/>
        </w:rPr>
        <w:t xml:space="preserve"> </w:t>
      </w:r>
      <w:r>
        <w:rPr>
          <w:i/>
          <w:iCs/>
        </w:rPr>
        <w:t xml:space="preserve">with institutional template; insert equations using</w:t>
      </w:r>
      <w:r>
        <w:rPr>
          <w:i/>
          <w:iCs/>
        </w:rPr>
        <w:t xml:space="preserve"> </w:t>
      </w:r>
      <w:r>
        <w:rPr>
          <w:rStyle w:val="VerbatimChar"/>
          <w:i/>
          <w:iCs/>
        </w:rPr>
        <w:t xml:space="preserve">WORD_EQUATION_EDITOR_FORMULAS.md</w:t>
      </w:r>
      <w:r>
        <w:rPr>
          <w:i/>
          <w:iCs/>
        </w:rPr>
        <w:t xml:space="preserve">.</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2026-04-22T15:31:20Z</dcterms:created>
  <dcterms:modified xsi:type="dcterms:W3CDTF">2026-04-22T15:31:20Z</dcterms:modified>
</cp:coreProperties>
</file>

<file path=docProps/custom.xml><?xml version="1.0" encoding="utf-8"?>
<Properties xmlns="http://schemas.openxmlformats.org/officeDocument/2006/custom-properties" xmlns:vt="http://schemas.openxmlformats.org/officeDocument/2006/docPropsVTypes"/>
</file>