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Data Protection Impact Assessment (DPIA)</w:t>
      </w:r>
    </w:p>
    <w:p>
      <w:pPr>
        <w:jc w:val="center"/>
      </w:pPr>
      <w:r>
        <w:rPr>
          <w:b/>
          <w:sz w:val="24"/>
        </w:rPr>
        <w:t>Australian Clinical Labs Online Reporting System (ACLRS)</w:t>
      </w:r>
    </w:p>
    <w:p>
      <w:pPr>
        <w:spacing w:before="160" w:after="60"/>
      </w:pPr>
      <w:r>
        <w:rPr>
          <w:b/>
          <w:sz w:val="26"/>
        </w:rPr>
        <w:t>1. Purpose</w:t>
      </w:r>
    </w:p>
    <w:p>
      <w:r>
        <w:t>The purpose of this Data Protection Impact Assessment is to identify privacy and data-security risks arising from the information processed by the Australian Clinical Labs Online Reporting System (ACLRS) and determine how the controls specified within the project reduce those risks.</w:t>
      </w:r>
    </w:p>
    <w:p>
      <w:r>
        <w:t>ACLRS manages the laboratory workflow from patient registration and test-request creation through specimen tracking, laboratory result processing, result authorisation and secure report distribution. This assessment is limited to data and processes defined within the ACLRS project.</w:t>
      </w:r>
    </w:p>
    <w:p>
      <w:pPr>
        <w:spacing w:before="160" w:after="60"/>
      </w:pPr>
      <w:r>
        <w:rPr>
          <w:b/>
          <w:sz w:val="26"/>
        </w:rPr>
        <w:t>2. Data Processed by ACLRS</w:t>
      </w:r>
    </w:p>
    <w:tbl>
      <w:tblPr>
        <w:tblStyle w:val="TableGrid"/>
        <w:tblW w:type="auto" w:w="0"/>
        <w:jc w:val="center"/>
        <w:tblLook w:firstColumn="1" w:firstRow="1" w:lastColumn="0" w:lastRow="0" w:noHBand="0" w:noVBand="1" w:val="04A0"/>
      </w:tblPr>
      <w:tblGrid>
        <w:gridCol w:w="5112"/>
        <w:gridCol w:w="5112"/>
      </w:tblGrid>
      <w:tr>
        <w:tc>
          <w:tcPr>
            <w:tcW w:type="dxa" w:w="4032"/>
            <w:shd w:fill="D9E2F3"/>
            <w:vAlign w:val="center"/>
          </w:tcPr>
          <w:p>
            <w:r>
              <w:rPr>
                <w:rFonts w:ascii="Arial" w:hAnsi="Arial"/>
                <w:b/>
                <w:sz w:val="17"/>
              </w:rPr>
              <w:t>Project Data</w:t>
            </w:r>
          </w:p>
        </w:tc>
        <w:tc>
          <w:tcPr>
            <w:tcW w:type="dxa" w:w="6048"/>
            <w:shd w:fill="D9E2F3"/>
            <w:vAlign w:val="center"/>
          </w:tcPr>
          <w:p>
            <w:r>
              <w:rPr>
                <w:rFonts w:ascii="Arial" w:hAnsi="Arial"/>
                <w:b/>
                <w:sz w:val="17"/>
              </w:rPr>
              <w:t>Where / Why It Is Used</w:t>
            </w:r>
          </w:p>
        </w:tc>
      </w:tr>
      <w:tr>
        <w:tc>
          <w:tcPr>
            <w:tcW w:type="dxa" w:w="4032"/>
            <w:vAlign w:val="center"/>
          </w:tcPr>
          <w:p>
            <w:pPr>
              <w:spacing w:after="0"/>
            </w:pPr>
            <w:r>
              <w:rPr>
                <w:rFonts w:ascii="Arial" w:hAnsi="Arial"/>
                <w:sz w:val="16"/>
              </w:rPr>
              <w:t>Patient ID, name, date of birth and gender</w:t>
            </w:r>
          </w:p>
        </w:tc>
        <w:tc>
          <w:tcPr>
            <w:tcW w:type="dxa" w:w="6048"/>
            <w:vAlign w:val="center"/>
          </w:tcPr>
          <w:p>
            <w:pPr>
              <w:spacing w:after="0"/>
            </w:pPr>
            <w:r>
              <w:rPr>
                <w:rFonts w:ascii="Arial" w:hAnsi="Arial"/>
                <w:sz w:val="16"/>
              </w:rPr>
              <w:t>Patient registration, identification and record matching.</w:t>
            </w:r>
          </w:p>
        </w:tc>
      </w:tr>
      <w:tr>
        <w:tc>
          <w:tcPr>
            <w:tcW w:type="dxa" w:w="4032"/>
            <w:vAlign w:val="center"/>
          </w:tcPr>
          <w:p>
            <w:pPr>
              <w:spacing w:after="0"/>
            </w:pPr>
            <w:r>
              <w:rPr>
                <w:rFonts w:ascii="Arial" w:hAnsi="Arial"/>
                <w:sz w:val="16"/>
              </w:rPr>
              <w:t>Phone number, email and address</w:t>
            </w:r>
          </w:p>
        </w:tc>
        <w:tc>
          <w:tcPr>
            <w:tcW w:type="dxa" w:w="6048"/>
            <w:vAlign w:val="center"/>
          </w:tcPr>
          <w:p>
            <w:pPr>
              <w:spacing w:after="0"/>
            </w:pPr>
            <w:r>
              <w:rPr>
                <w:rFonts w:ascii="Arial" w:hAnsi="Arial"/>
                <w:sz w:val="16"/>
              </w:rPr>
              <w:t>Patient contact and account information.</w:t>
            </w:r>
          </w:p>
        </w:tc>
      </w:tr>
      <w:tr>
        <w:tc>
          <w:tcPr>
            <w:tcW w:type="dxa" w:w="4032"/>
            <w:vAlign w:val="center"/>
          </w:tcPr>
          <w:p>
            <w:pPr>
              <w:spacing w:after="0"/>
            </w:pPr>
            <w:r>
              <w:rPr>
                <w:rFonts w:ascii="Arial" w:hAnsi="Arial"/>
                <w:sz w:val="16"/>
              </w:rPr>
              <w:t>Medicare Number</w:t>
            </w:r>
          </w:p>
        </w:tc>
        <w:tc>
          <w:tcPr>
            <w:tcW w:type="dxa" w:w="6048"/>
            <w:vAlign w:val="center"/>
          </w:tcPr>
          <w:p>
            <w:pPr>
              <w:spacing w:after="0"/>
            </w:pPr>
            <w:r>
              <w:rPr>
                <w:rFonts w:ascii="Arial" w:hAnsi="Arial"/>
                <w:sz w:val="16"/>
              </w:rPr>
              <w:t>Patient record and applicable identification/coverage information.</w:t>
            </w:r>
          </w:p>
        </w:tc>
      </w:tr>
      <w:tr>
        <w:tc>
          <w:tcPr>
            <w:tcW w:type="dxa" w:w="4032"/>
            <w:vAlign w:val="center"/>
          </w:tcPr>
          <w:p>
            <w:pPr>
              <w:spacing w:after="0"/>
            </w:pPr>
            <w:r>
              <w:rPr>
                <w:rFonts w:ascii="Arial" w:hAnsi="Arial"/>
                <w:sz w:val="16"/>
              </w:rPr>
              <w:t>User ID, username and email</w:t>
            </w:r>
          </w:p>
        </w:tc>
        <w:tc>
          <w:tcPr>
            <w:tcW w:type="dxa" w:w="6048"/>
            <w:vAlign w:val="center"/>
          </w:tcPr>
          <w:p>
            <w:pPr>
              <w:spacing w:after="0"/>
            </w:pPr>
            <w:r>
              <w:rPr>
                <w:rFonts w:ascii="Arial" w:hAnsi="Arial"/>
                <w:sz w:val="16"/>
              </w:rPr>
              <w:t>User account identification and authentication.</w:t>
            </w:r>
          </w:p>
        </w:tc>
      </w:tr>
      <w:tr>
        <w:tc>
          <w:tcPr>
            <w:tcW w:type="dxa" w:w="4032"/>
            <w:vAlign w:val="center"/>
          </w:tcPr>
          <w:p>
            <w:pPr>
              <w:spacing w:after="0"/>
            </w:pPr>
            <w:r>
              <w:rPr>
                <w:rFonts w:ascii="Arial" w:hAnsi="Arial"/>
                <w:sz w:val="16"/>
              </w:rPr>
              <w:t>Password Hash</w:t>
            </w:r>
          </w:p>
        </w:tc>
        <w:tc>
          <w:tcPr>
            <w:tcW w:type="dxa" w:w="6048"/>
            <w:vAlign w:val="center"/>
          </w:tcPr>
          <w:p>
            <w:pPr>
              <w:spacing w:after="0"/>
            </w:pPr>
            <w:r>
              <w:rPr>
                <w:rFonts w:ascii="Arial" w:hAnsi="Arial"/>
                <w:sz w:val="16"/>
              </w:rPr>
              <w:t>Secure storage of user authentication credentials.</w:t>
            </w:r>
          </w:p>
        </w:tc>
      </w:tr>
      <w:tr>
        <w:tc>
          <w:tcPr>
            <w:tcW w:type="dxa" w:w="4032"/>
            <w:vAlign w:val="center"/>
          </w:tcPr>
          <w:p>
            <w:pPr>
              <w:spacing w:after="0"/>
            </w:pPr>
            <w:r>
              <w:rPr>
                <w:rFonts w:ascii="Arial" w:hAnsi="Arial"/>
                <w:sz w:val="16"/>
              </w:rPr>
              <w:t>Account Status</w:t>
            </w:r>
          </w:p>
        </w:tc>
        <w:tc>
          <w:tcPr>
            <w:tcW w:type="dxa" w:w="6048"/>
            <w:vAlign w:val="center"/>
          </w:tcPr>
          <w:p>
            <w:pPr>
              <w:spacing w:after="0"/>
            </w:pPr>
            <w:r>
              <w:rPr>
                <w:rFonts w:ascii="Arial" w:hAnsi="Arial"/>
                <w:sz w:val="16"/>
              </w:rPr>
              <w:t>User account management and access control.</w:t>
            </w:r>
          </w:p>
        </w:tc>
      </w:tr>
      <w:tr>
        <w:tc>
          <w:tcPr>
            <w:tcW w:type="dxa" w:w="4032"/>
            <w:vAlign w:val="center"/>
          </w:tcPr>
          <w:p>
            <w:pPr>
              <w:spacing w:after="0"/>
            </w:pPr>
            <w:r>
              <w:rPr>
                <w:rFonts w:ascii="Arial" w:hAnsi="Arial"/>
                <w:sz w:val="16"/>
              </w:rPr>
              <w:t>Clinician ID and clinician name</w:t>
            </w:r>
          </w:p>
        </w:tc>
        <w:tc>
          <w:tcPr>
            <w:tcW w:type="dxa" w:w="6048"/>
            <w:vAlign w:val="center"/>
          </w:tcPr>
          <w:p>
            <w:pPr>
              <w:spacing w:after="0"/>
            </w:pPr>
            <w:r>
              <w:rPr>
                <w:rFonts w:ascii="Arial" w:hAnsi="Arial"/>
                <w:sz w:val="16"/>
              </w:rPr>
              <w:t>Clinician identification within test requests and referrals.</w:t>
            </w:r>
          </w:p>
        </w:tc>
      </w:tr>
      <w:tr>
        <w:tc>
          <w:tcPr>
            <w:tcW w:type="dxa" w:w="4032"/>
            <w:vAlign w:val="center"/>
          </w:tcPr>
          <w:p>
            <w:pPr>
              <w:spacing w:after="0"/>
            </w:pPr>
            <w:r>
              <w:rPr>
                <w:rFonts w:ascii="Arial" w:hAnsi="Arial"/>
                <w:sz w:val="16"/>
              </w:rPr>
              <w:t>Provider Number</w:t>
            </w:r>
          </w:p>
        </w:tc>
        <w:tc>
          <w:tcPr>
            <w:tcW w:type="dxa" w:w="6048"/>
            <w:vAlign w:val="center"/>
          </w:tcPr>
          <w:p>
            <w:pPr>
              <w:spacing w:after="0"/>
            </w:pPr>
            <w:r>
              <w:rPr>
                <w:rFonts w:ascii="Arial" w:hAnsi="Arial"/>
                <w:sz w:val="16"/>
              </w:rPr>
              <w:t>Professional clinician identification.</w:t>
            </w:r>
          </w:p>
        </w:tc>
      </w:tr>
      <w:tr>
        <w:tc>
          <w:tcPr>
            <w:tcW w:type="dxa" w:w="4032"/>
            <w:vAlign w:val="center"/>
          </w:tcPr>
          <w:p>
            <w:pPr>
              <w:spacing w:after="0"/>
            </w:pPr>
            <w:r>
              <w:rPr>
                <w:rFonts w:ascii="Arial" w:hAnsi="Arial"/>
                <w:sz w:val="16"/>
              </w:rPr>
              <w:t>Role ID and Role Name</w:t>
            </w:r>
          </w:p>
        </w:tc>
        <w:tc>
          <w:tcPr>
            <w:tcW w:type="dxa" w:w="6048"/>
            <w:vAlign w:val="center"/>
          </w:tcPr>
          <w:p>
            <w:pPr>
              <w:spacing w:after="0"/>
            </w:pPr>
            <w:r>
              <w:rPr>
                <w:rFonts w:ascii="Arial" w:hAnsi="Arial"/>
                <w:sz w:val="16"/>
              </w:rPr>
              <w:t>Role-based access to ACLRS functions.</w:t>
            </w:r>
          </w:p>
        </w:tc>
      </w:tr>
      <w:tr>
        <w:tc>
          <w:tcPr>
            <w:tcW w:type="dxa" w:w="4032"/>
            <w:vAlign w:val="center"/>
          </w:tcPr>
          <w:p>
            <w:pPr>
              <w:spacing w:after="0"/>
            </w:pPr>
            <w:r>
              <w:rPr>
                <w:rFonts w:ascii="Arial" w:hAnsi="Arial"/>
                <w:sz w:val="16"/>
              </w:rPr>
              <w:t>Test Request and Referral Information</w:t>
            </w:r>
          </w:p>
        </w:tc>
        <w:tc>
          <w:tcPr>
            <w:tcW w:type="dxa" w:w="6048"/>
            <w:vAlign w:val="center"/>
          </w:tcPr>
          <w:p>
            <w:pPr>
              <w:spacing w:after="0"/>
            </w:pPr>
            <w:r>
              <w:rPr>
                <w:rFonts w:ascii="Arial" w:hAnsi="Arial"/>
                <w:sz w:val="16"/>
              </w:rPr>
              <w:t>Creation and processing of laboratory test requests.</w:t>
            </w:r>
          </w:p>
        </w:tc>
      </w:tr>
      <w:tr>
        <w:tc>
          <w:tcPr>
            <w:tcW w:type="dxa" w:w="4032"/>
            <w:vAlign w:val="center"/>
          </w:tcPr>
          <w:p>
            <w:pPr>
              <w:spacing w:after="0"/>
            </w:pPr>
            <w:r>
              <w:rPr>
                <w:rFonts w:ascii="Arial" w:hAnsi="Arial"/>
                <w:sz w:val="16"/>
              </w:rPr>
              <w:t>Specimen Information</w:t>
            </w:r>
          </w:p>
        </w:tc>
        <w:tc>
          <w:tcPr>
            <w:tcW w:type="dxa" w:w="6048"/>
            <w:vAlign w:val="center"/>
          </w:tcPr>
          <w:p>
            <w:pPr>
              <w:spacing w:after="0"/>
            </w:pPr>
            <w:r>
              <w:rPr>
                <w:rFonts w:ascii="Arial" w:hAnsi="Arial"/>
                <w:sz w:val="16"/>
              </w:rPr>
              <w:t>Specimen registration, collection, receipt and lifecycle tracking.</w:t>
            </w:r>
          </w:p>
        </w:tc>
      </w:tr>
      <w:tr>
        <w:tc>
          <w:tcPr>
            <w:tcW w:type="dxa" w:w="4032"/>
            <w:vAlign w:val="center"/>
          </w:tcPr>
          <w:p>
            <w:pPr>
              <w:spacing w:after="0"/>
            </w:pPr>
            <w:r>
              <w:rPr>
                <w:rFonts w:ascii="Arial" w:hAnsi="Arial"/>
                <w:sz w:val="16"/>
              </w:rPr>
              <w:t>Test Results</w:t>
            </w:r>
          </w:p>
        </w:tc>
        <w:tc>
          <w:tcPr>
            <w:tcW w:type="dxa" w:w="6048"/>
            <w:vAlign w:val="center"/>
          </w:tcPr>
          <w:p>
            <w:pPr>
              <w:spacing w:after="0"/>
            </w:pPr>
            <w:r>
              <w:rPr>
                <w:rFonts w:ascii="Arial" w:hAnsi="Arial"/>
                <w:sz w:val="16"/>
              </w:rPr>
              <w:t>Laboratory result entry, validation, review and authorisation.</w:t>
            </w:r>
          </w:p>
        </w:tc>
      </w:tr>
      <w:tr>
        <w:tc>
          <w:tcPr>
            <w:tcW w:type="dxa" w:w="4032"/>
            <w:vAlign w:val="center"/>
          </w:tcPr>
          <w:p>
            <w:pPr>
              <w:spacing w:after="0"/>
            </w:pPr>
            <w:r>
              <w:rPr>
                <w:rFonts w:ascii="Arial" w:hAnsi="Arial"/>
                <w:sz w:val="16"/>
              </w:rPr>
              <w:t>Laboratory Reports</w:t>
            </w:r>
          </w:p>
        </w:tc>
        <w:tc>
          <w:tcPr>
            <w:tcW w:type="dxa" w:w="6048"/>
            <w:vAlign w:val="center"/>
          </w:tcPr>
          <w:p>
            <w:pPr>
              <w:spacing w:after="0"/>
            </w:pPr>
            <w:r>
              <w:rPr>
                <w:rFonts w:ascii="Arial" w:hAnsi="Arial"/>
                <w:sz w:val="16"/>
              </w:rPr>
              <w:t>Generation and distribution of authorised laboratory results.</w:t>
            </w:r>
          </w:p>
        </w:tc>
      </w:tr>
      <w:tr>
        <w:tc>
          <w:tcPr>
            <w:tcW w:type="dxa" w:w="4032"/>
            <w:vAlign w:val="center"/>
          </w:tcPr>
          <w:p>
            <w:pPr>
              <w:spacing w:after="0"/>
            </w:pPr>
            <w:r>
              <w:rPr>
                <w:rFonts w:ascii="Arial" w:hAnsi="Arial"/>
                <w:sz w:val="16"/>
              </w:rPr>
              <w:t>Audit Information</w:t>
            </w:r>
          </w:p>
        </w:tc>
        <w:tc>
          <w:tcPr>
            <w:tcW w:type="dxa" w:w="6048"/>
            <w:vAlign w:val="center"/>
          </w:tcPr>
          <w:p>
            <w:pPr>
              <w:spacing w:after="0"/>
            </w:pPr>
            <w:r>
              <w:rPr>
                <w:rFonts w:ascii="Arial" w:hAnsi="Arial"/>
                <w:sz w:val="16"/>
              </w:rPr>
              <w:t>Recording important system access and modification activities.</w:t>
            </w:r>
          </w:p>
        </w:tc>
      </w:tr>
    </w:tbl>
    <w:p/>
    <w:p>
      <w:pPr>
        <w:spacing w:before="160" w:after="60"/>
      </w:pPr>
      <w:r>
        <w:rPr>
          <w:b/>
          <w:sz w:val="26"/>
        </w:rPr>
        <w:t>3. ACLRS Data Processing Lifecycle</w:t>
      </w:r>
    </w:p>
    <w:p>
      <w:pPr>
        <w:jc w:val="center"/>
      </w:pPr>
      <w:r>
        <w:rPr>
          <w:b/>
          <w:sz w:val="20"/>
        </w:rPr>
        <w:t>Data Collection  →  Validation  →  Storage  →  Laboratory Processing  →  Clinical Review  →  Report Distribution</w:t>
      </w:r>
    </w:p>
    <w:p>
      <w:r>
        <w:t>Information is entered or generated by patients, reception staff, clinicians and laboratory personnel. Access to this information is controlled according to the user's assigned ACLRS role and authorised responsibilities.</w:t>
      </w:r>
    </w:p>
    <w:p>
      <w:pPr>
        <w:spacing w:before="160" w:after="60"/>
      </w:pPr>
      <w:r>
        <w:rPr>
          <w:b/>
          <w:sz w:val="26"/>
        </w:rPr>
        <w:t>4. Project-Specific Data Protection Risks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160"/>
            <w:shd w:fill="D9E2F3"/>
            <w:vAlign w:val="center"/>
          </w:tcPr>
          <w:p>
            <w:r>
              <w:rPr>
                <w:rFonts w:ascii="Arial" w:hAnsi="Arial"/>
                <w:b/>
                <w:sz w:val="17"/>
              </w:rPr>
              <w:t>ACLRS Data / Process</w:t>
            </w:r>
          </w:p>
        </w:tc>
        <w:tc>
          <w:tcPr>
            <w:tcW w:type="dxa" w:w="3888"/>
            <w:shd w:fill="D9E2F3"/>
            <w:vAlign w:val="center"/>
          </w:tcPr>
          <w:p>
            <w:r>
              <w:rPr>
                <w:rFonts w:ascii="Arial" w:hAnsi="Arial"/>
                <w:b/>
                <w:sz w:val="17"/>
              </w:rPr>
              <w:t>Risk in This Project</w:t>
            </w:r>
          </w:p>
        </w:tc>
        <w:tc>
          <w:tcPr>
            <w:tcW w:type="dxa" w:w="1008"/>
            <w:shd w:fill="D9E2F3"/>
            <w:vAlign w:val="center"/>
          </w:tcPr>
          <w:p>
            <w:r>
              <w:rPr>
                <w:rFonts w:ascii="Arial" w:hAnsi="Arial"/>
                <w:b/>
                <w:sz w:val="17"/>
              </w:rPr>
              <w:t>Impact</w:t>
            </w:r>
          </w:p>
        </w:tc>
        <w:tc>
          <w:tcPr>
            <w:tcW w:type="dxa" w:w="3168"/>
            <w:shd w:fill="D9E2F3"/>
            <w:vAlign w:val="center"/>
          </w:tcPr>
          <w:p>
            <w:r>
              <w:rPr>
                <w:rFonts w:ascii="Arial" w:hAnsi="Arial"/>
                <w:b/>
                <w:sz w:val="17"/>
              </w:rPr>
              <w:t>Project Control</w:t>
            </w:r>
          </w:p>
        </w:tc>
      </w:tr>
      <w:tr>
        <w:tc>
          <w:tcPr>
            <w:tcW w:type="dxa" w:w="2160"/>
            <w:vAlign w:val="center"/>
          </w:tcPr>
          <w:p>
            <w:pPr>
              <w:spacing w:after="0"/>
            </w:pPr>
            <w:r>
              <w:rPr>
                <w:rFonts w:ascii="Arial" w:hAnsi="Arial"/>
                <w:sz w:val="16"/>
              </w:rPr>
              <w:t>Patient records</w:t>
            </w:r>
          </w:p>
        </w:tc>
        <w:tc>
          <w:tcPr>
            <w:tcW w:type="dxa" w:w="3888"/>
            <w:vAlign w:val="center"/>
          </w:tcPr>
          <w:p>
            <w:pPr>
              <w:spacing w:after="0"/>
            </w:pPr>
            <w:r>
              <w:rPr>
                <w:rFonts w:ascii="Arial" w:hAnsi="Arial"/>
                <w:sz w:val="16"/>
              </w:rPr>
              <w:t>An unauthorised user views patient information.</w:t>
            </w:r>
          </w:p>
        </w:tc>
        <w:tc>
          <w:tcPr>
            <w:tcW w:type="dxa" w:w="1008"/>
            <w:vAlign w:val="center"/>
          </w:tcPr>
          <w:p>
            <w:pPr>
              <w:spacing w:after="0"/>
            </w:pPr>
            <w:r>
              <w:rPr>
                <w:rFonts w:ascii="Arial" w:hAnsi="Arial"/>
                <w:sz w:val="16"/>
              </w:rPr>
              <w:t>High</w:t>
            </w:r>
          </w:p>
        </w:tc>
        <w:tc>
          <w:tcPr>
            <w:tcW w:type="dxa" w:w="3168"/>
            <w:vAlign w:val="center"/>
          </w:tcPr>
          <w:p>
            <w:pPr>
              <w:spacing w:after="0"/>
            </w:pPr>
            <w:r>
              <w:rPr>
                <w:rFonts w:ascii="Arial" w:hAnsi="Arial"/>
                <w:sz w:val="16"/>
              </w:rPr>
              <w:t>User authentication and Role-Based Access Control (RBAC).</w:t>
            </w:r>
          </w:p>
        </w:tc>
      </w:tr>
      <w:tr>
        <w:tc>
          <w:tcPr>
            <w:tcW w:type="dxa" w:w="2160"/>
            <w:vAlign w:val="center"/>
          </w:tcPr>
          <w:p>
            <w:pPr>
              <w:spacing w:after="0"/>
            </w:pPr>
            <w:r>
              <w:rPr>
                <w:rFonts w:ascii="Arial" w:hAnsi="Arial"/>
                <w:sz w:val="16"/>
              </w:rPr>
              <w:t>User accounts</w:t>
            </w:r>
          </w:p>
        </w:tc>
        <w:tc>
          <w:tcPr>
            <w:tcW w:type="dxa" w:w="3888"/>
            <w:vAlign w:val="center"/>
          </w:tcPr>
          <w:p>
            <w:pPr>
              <w:spacing w:after="0"/>
            </w:pPr>
            <w:r>
              <w:rPr>
                <w:rFonts w:ascii="Arial" w:hAnsi="Arial"/>
                <w:sz w:val="16"/>
              </w:rPr>
              <w:t>A password or user account is compromised.</w:t>
            </w:r>
          </w:p>
        </w:tc>
        <w:tc>
          <w:tcPr>
            <w:tcW w:type="dxa" w:w="1008"/>
            <w:vAlign w:val="center"/>
          </w:tcPr>
          <w:p>
            <w:pPr>
              <w:spacing w:after="0"/>
            </w:pPr>
            <w:r>
              <w:rPr>
                <w:rFonts w:ascii="Arial" w:hAnsi="Arial"/>
                <w:sz w:val="16"/>
              </w:rPr>
              <w:t>High</w:t>
            </w:r>
          </w:p>
        </w:tc>
        <w:tc>
          <w:tcPr>
            <w:tcW w:type="dxa" w:w="3168"/>
            <w:vAlign w:val="center"/>
          </w:tcPr>
          <w:p>
            <w:pPr>
              <w:spacing w:after="0"/>
            </w:pPr>
            <w:r>
              <w:rPr>
                <w:rFonts w:ascii="Arial" w:hAnsi="Arial"/>
                <w:sz w:val="16"/>
              </w:rPr>
              <w:t>Password hashing, MFA and account management controls.</w:t>
            </w:r>
          </w:p>
        </w:tc>
      </w:tr>
      <w:tr>
        <w:tc>
          <w:tcPr>
            <w:tcW w:type="dxa" w:w="2160"/>
            <w:vAlign w:val="center"/>
          </w:tcPr>
          <w:p>
            <w:pPr>
              <w:spacing w:after="0"/>
            </w:pPr>
            <w:r>
              <w:rPr>
                <w:rFonts w:ascii="Arial" w:hAnsi="Arial"/>
                <w:sz w:val="16"/>
              </w:rPr>
              <w:t>Patient registration</w:t>
            </w:r>
          </w:p>
        </w:tc>
        <w:tc>
          <w:tcPr>
            <w:tcW w:type="dxa" w:w="3888"/>
            <w:vAlign w:val="center"/>
          </w:tcPr>
          <w:p>
            <w:pPr>
              <w:spacing w:after="0"/>
            </w:pPr>
            <w:r>
              <w:rPr>
                <w:rFonts w:ascii="Arial" w:hAnsi="Arial"/>
                <w:sz w:val="16"/>
              </w:rPr>
              <w:t>An incorrect or duplicate patient record is created.</w:t>
            </w:r>
          </w:p>
        </w:tc>
        <w:tc>
          <w:tcPr>
            <w:tcW w:type="dxa" w:w="1008"/>
            <w:vAlign w:val="center"/>
          </w:tcPr>
          <w:p>
            <w:pPr>
              <w:spacing w:after="0"/>
            </w:pPr>
            <w:r>
              <w:rPr>
                <w:rFonts w:ascii="Arial" w:hAnsi="Arial"/>
                <w:sz w:val="16"/>
              </w:rPr>
              <w:t>High</w:t>
            </w:r>
          </w:p>
        </w:tc>
        <w:tc>
          <w:tcPr>
            <w:tcW w:type="dxa" w:w="3168"/>
            <w:vAlign w:val="center"/>
          </w:tcPr>
          <w:p>
            <w:pPr>
              <w:spacing w:after="0"/>
            </w:pPr>
            <w:r>
              <w:rPr>
                <w:rFonts w:ascii="Arial" w:hAnsi="Arial"/>
                <w:sz w:val="16"/>
              </w:rPr>
              <w:t>Patient identity verification and duplicate patient detection.</w:t>
            </w:r>
          </w:p>
        </w:tc>
      </w:tr>
      <w:tr>
        <w:tc>
          <w:tcPr>
            <w:tcW w:type="dxa" w:w="2160"/>
            <w:vAlign w:val="center"/>
          </w:tcPr>
          <w:p>
            <w:pPr>
              <w:spacing w:after="0"/>
            </w:pPr>
            <w:r>
              <w:rPr>
                <w:rFonts w:ascii="Arial" w:hAnsi="Arial"/>
                <w:sz w:val="16"/>
              </w:rPr>
              <w:t>Test requests</w:t>
            </w:r>
          </w:p>
        </w:tc>
        <w:tc>
          <w:tcPr>
            <w:tcW w:type="dxa" w:w="3888"/>
            <w:vAlign w:val="center"/>
          </w:tcPr>
          <w:p>
            <w:pPr>
              <w:spacing w:after="0"/>
            </w:pPr>
            <w:r>
              <w:rPr>
                <w:rFonts w:ascii="Arial" w:hAnsi="Arial"/>
                <w:sz w:val="16"/>
              </w:rPr>
              <w:t>A test request is accessed or modified by an unauthorised user.</w:t>
            </w:r>
          </w:p>
        </w:tc>
        <w:tc>
          <w:tcPr>
            <w:tcW w:type="dxa" w:w="1008"/>
            <w:vAlign w:val="center"/>
          </w:tcPr>
          <w:p>
            <w:pPr>
              <w:spacing w:after="0"/>
            </w:pPr>
            <w:r>
              <w:rPr>
                <w:rFonts w:ascii="Arial" w:hAnsi="Arial"/>
                <w:sz w:val="16"/>
              </w:rPr>
              <w:t>High</w:t>
            </w:r>
          </w:p>
        </w:tc>
        <w:tc>
          <w:tcPr>
            <w:tcW w:type="dxa" w:w="3168"/>
            <w:vAlign w:val="center"/>
          </w:tcPr>
          <w:p>
            <w:pPr>
              <w:spacing w:after="0"/>
            </w:pPr>
            <w:r>
              <w:rPr>
                <w:rFonts w:ascii="Arial" w:hAnsi="Arial"/>
                <w:sz w:val="16"/>
              </w:rPr>
              <w:t>Role permissions and Audit Trail.</w:t>
            </w:r>
          </w:p>
        </w:tc>
      </w:tr>
      <w:tr>
        <w:tc>
          <w:tcPr>
            <w:tcW w:type="dxa" w:w="2160"/>
            <w:vAlign w:val="center"/>
          </w:tcPr>
          <w:p>
            <w:pPr>
              <w:spacing w:after="0"/>
            </w:pPr>
            <w:r>
              <w:rPr>
                <w:rFonts w:ascii="Arial" w:hAnsi="Arial"/>
                <w:sz w:val="16"/>
              </w:rPr>
              <w:t>Specimen records</w:t>
            </w:r>
          </w:p>
        </w:tc>
        <w:tc>
          <w:tcPr>
            <w:tcW w:type="dxa" w:w="3888"/>
            <w:vAlign w:val="center"/>
          </w:tcPr>
          <w:p>
            <w:pPr>
              <w:spacing w:after="0"/>
            </w:pPr>
            <w:r>
              <w:rPr>
                <w:rFonts w:ascii="Arial" w:hAnsi="Arial"/>
                <w:sz w:val="16"/>
              </w:rPr>
              <w:t>A specimen is linked to the wrong patient or test request.</w:t>
            </w:r>
          </w:p>
        </w:tc>
        <w:tc>
          <w:tcPr>
            <w:tcW w:type="dxa" w:w="1008"/>
            <w:vAlign w:val="center"/>
          </w:tcPr>
          <w:p>
            <w:pPr>
              <w:spacing w:after="0"/>
            </w:pPr>
            <w:r>
              <w:rPr>
                <w:rFonts w:ascii="Arial" w:hAnsi="Arial"/>
                <w:sz w:val="16"/>
              </w:rPr>
              <w:t>High</w:t>
            </w:r>
          </w:p>
        </w:tc>
        <w:tc>
          <w:tcPr>
            <w:tcW w:type="dxa" w:w="3168"/>
            <w:vAlign w:val="center"/>
          </w:tcPr>
          <w:p>
            <w:pPr>
              <w:spacing w:after="0"/>
            </w:pPr>
            <w:r>
              <w:rPr>
                <w:rFonts w:ascii="Arial" w:hAnsi="Arial"/>
                <w:sz w:val="16"/>
              </w:rPr>
              <w:t>Specimen registration, unique barcode generation and specimen tracking.</w:t>
            </w:r>
          </w:p>
        </w:tc>
      </w:tr>
      <w:tr>
        <w:tc>
          <w:tcPr>
            <w:tcW w:type="dxa" w:w="2160"/>
            <w:vAlign w:val="center"/>
          </w:tcPr>
          <w:p>
            <w:pPr>
              <w:spacing w:after="0"/>
            </w:pPr>
            <w:r>
              <w:rPr>
                <w:rFonts w:ascii="Arial" w:hAnsi="Arial"/>
                <w:sz w:val="16"/>
              </w:rPr>
              <w:t>Test results</w:t>
            </w:r>
          </w:p>
        </w:tc>
        <w:tc>
          <w:tcPr>
            <w:tcW w:type="dxa" w:w="3888"/>
            <w:vAlign w:val="center"/>
          </w:tcPr>
          <w:p>
            <w:pPr>
              <w:spacing w:after="0"/>
            </w:pPr>
            <w:r>
              <w:rPr>
                <w:rFonts w:ascii="Arial" w:hAnsi="Arial"/>
                <w:sz w:val="16"/>
              </w:rPr>
              <w:t>A laboratory result is incorrectly modified or released.</w:t>
            </w:r>
          </w:p>
        </w:tc>
        <w:tc>
          <w:tcPr>
            <w:tcW w:type="dxa" w:w="1008"/>
            <w:vAlign w:val="center"/>
          </w:tcPr>
          <w:p>
            <w:pPr>
              <w:spacing w:after="0"/>
            </w:pPr>
            <w:r>
              <w:rPr>
                <w:rFonts w:ascii="Arial" w:hAnsi="Arial"/>
                <w:sz w:val="16"/>
              </w:rPr>
              <w:t>Critical</w:t>
            </w:r>
          </w:p>
        </w:tc>
        <w:tc>
          <w:tcPr>
            <w:tcW w:type="dxa" w:w="3168"/>
            <w:vAlign w:val="center"/>
          </w:tcPr>
          <w:p>
            <w:pPr>
              <w:spacing w:after="0"/>
            </w:pPr>
            <w:r>
              <w:rPr>
                <w:rFonts w:ascii="Arial" w:hAnsi="Arial"/>
                <w:sz w:val="16"/>
              </w:rPr>
              <w:t>Result validation, RBAC, review and result authorisation.</w:t>
            </w:r>
          </w:p>
        </w:tc>
      </w:tr>
      <w:tr>
        <w:tc>
          <w:tcPr>
            <w:tcW w:type="dxa" w:w="2160"/>
            <w:vAlign w:val="center"/>
          </w:tcPr>
          <w:p>
            <w:pPr>
              <w:spacing w:after="0"/>
            </w:pPr>
            <w:r>
              <w:rPr>
                <w:rFonts w:ascii="Arial" w:hAnsi="Arial"/>
                <w:sz w:val="16"/>
              </w:rPr>
              <w:t>Critical results</w:t>
            </w:r>
          </w:p>
        </w:tc>
        <w:tc>
          <w:tcPr>
            <w:tcW w:type="dxa" w:w="3888"/>
            <w:vAlign w:val="center"/>
          </w:tcPr>
          <w:p>
            <w:pPr>
              <w:spacing w:after="0"/>
            </w:pPr>
            <w:r>
              <w:rPr>
                <w:rFonts w:ascii="Arial" w:hAnsi="Arial"/>
                <w:sz w:val="16"/>
              </w:rPr>
              <w:t>A critical result is not appropriately communicated or acknowledged.</w:t>
            </w:r>
          </w:p>
        </w:tc>
        <w:tc>
          <w:tcPr>
            <w:tcW w:type="dxa" w:w="1008"/>
            <w:vAlign w:val="center"/>
          </w:tcPr>
          <w:p>
            <w:pPr>
              <w:spacing w:after="0"/>
            </w:pPr>
            <w:r>
              <w:rPr>
                <w:rFonts w:ascii="Arial" w:hAnsi="Arial"/>
                <w:sz w:val="16"/>
              </w:rPr>
              <w:t>Critical</w:t>
            </w:r>
          </w:p>
        </w:tc>
        <w:tc>
          <w:tcPr>
            <w:tcW w:type="dxa" w:w="3168"/>
            <w:vAlign w:val="center"/>
          </w:tcPr>
          <w:p>
            <w:pPr>
              <w:spacing w:after="0"/>
            </w:pPr>
            <w:r>
              <w:rPr>
                <w:rFonts w:ascii="Arial" w:hAnsi="Arial"/>
                <w:sz w:val="16"/>
              </w:rPr>
              <w:t>Critical-result alerts and acknowledgement records.</w:t>
            </w:r>
          </w:p>
        </w:tc>
      </w:tr>
      <w:tr>
        <w:tc>
          <w:tcPr>
            <w:tcW w:type="dxa" w:w="2160"/>
            <w:vAlign w:val="center"/>
          </w:tcPr>
          <w:p>
            <w:pPr>
              <w:spacing w:after="0"/>
            </w:pPr>
            <w:r>
              <w:rPr>
                <w:rFonts w:ascii="Arial" w:hAnsi="Arial"/>
                <w:sz w:val="16"/>
              </w:rPr>
              <w:t>Laboratory reports</w:t>
            </w:r>
          </w:p>
        </w:tc>
        <w:tc>
          <w:tcPr>
            <w:tcW w:type="dxa" w:w="3888"/>
            <w:vAlign w:val="center"/>
          </w:tcPr>
          <w:p>
            <w:pPr>
              <w:spacing w:after="0"/>
            </w:pPr>
            <w:r>
              <w:rPr>
                <w:rFonts w:ascii="Arial" w:hAnsi="Arial"/>
                <w:sz w:val="16"/>
              </w:rPr>
              <w:t>A report is accessed or distributed to an unauthorised recipient.</w:t>
            </w:r>
          </w:p>
        </w:tc>
        <w:tc>
          <w:tcPr>
            <w:tcW w:type="dxa" w:w="1008"/>
            <w:vAlign w:val="center"/>
          </w:tcPr>
          <w:p>
            <w:pPr>
              <w:spacing w:after="0"/>
            </w:pPr>
            <w:r>
              <w:rPr>
                <w:rFonts w:ascii="Arial" w:hAnsi="Arial"/>
                <w:sz w:val="16"/>
              </w:rPr>
              <w:t>Critical</w:t>
            </w:r>
          </w:p>
        </w:tc>
        <w:tc>
          <w:tcPr>
            <w:tcW w:type="dxa" w:w="3168"/>
            <w:vAlign w:val="center"/>
          </w:tcPr>
          <w:p>
            <w:pPr>
              <w:spacing w:after="0"/>
            </w:pPr>
            <w:r>
              <w:rPr>
                <w:rFonts w:ascii="Arial" w:hAnsi="Arial"/>
                <w:sz w:val="16"/>
              </w:rPr>
              <w:t>Result authorisation and controlled report distribution.</w:t>
            </w:r>
          </w:p>
        </w:tc>
      </w:tr>
      <w:tr>
        <w:tc>
          <w:tcPr>
            <w:tcW w:type="dxa" w:w="2160"/>
            <w:vAlign w:val="center"/>
          </w:tcPr>
          <w:p>
            <w:pPr>
              <w:spacing w:after="0"/>
            </w:pPr>
            <w:r>
              <w:rPr>
                <w:rFonts w:ascii="Arial" w:hAnsi="Arial"/>
                <w:sz w:val="16"/>
              </w:rPr>
              <w:t>Database information</w:t>
            </w:r>
          </w:p>
        </w:tc>
        <w:tc>
          <w:tcPr>
            <w:tcW w:type="dxa" w:w="3888"/>
            <w:vAlign w:val="center"/>
          </w:tcPr>
          <w:p>
            <w:pPr>
              <w:spacing w:after="0"/>
            </w:pPr>
            <w:r>
              <w:rPr>
                <w:rFonts w:ascii="Arial" w:hAnsi="Arial"/>
                <w:sz w:val="16"/>
              </w:rPr>
              <w:t>Patient or clinical information is exposed through a data breach.</w:t>
            </w:r>
          </w:p>
        </w:tc>
        <w:tc>
          <w:tcPr>
            <w:tcW w:type="dxa" w:w="1008"/>
            <w:vAlign w:val="center"/>
          </w:tcPr>
          <w:p>
            <w:pPr>
              <w:spacing w:after="0"/>
            </w:pPr>
            <w:r>
              <w:rPr>
                <w:rFonts w:ascii="Arial" w:hAnsi="Arial"/>
                <w:sz w:val="16"/>
              </w:rPr>
              <w:t>Critical</w:t>
            </w:r>
          </w:p>
        </w:tc>
        <w:tc>
          <w:tcPr>
            <w:tcW w:type="dxa" w:w="3168"/>
            <w:vAlign w:val="center"/>
          </w:tcPr>
          <w:p>
            <w:pPr>
              <w:spacing w:after="0"/>
            </w:pPr>
            <w:r>
              <w:rPr>
                <w:rFonts w:ascii="Arial" w:hAnsi="Arial"/>
                <w:sz w:val="16"/>
              </w:rPr>
              <w:t>Encryption, access control and cybersecurity controls.</w:t>
            </w:r>
          </w:p>
        </w:tc>
      </w:tr>
      <w:tr>
        <w:tc>
          <w:tcPr>
            <w:tcW w:type="dxa" w:w="2160"/>
            <w:vAlign w:val="center"/>
          </w:tcPr>
          <w:p>
            <w:pPr>
              <w:spacing w:after="0"/>
            </w:pPr>
            <w:r>
              <w:rPr>
                <w:rFonts w:ascii="Arial" w:hAnsi="Arial"/>
                <w:sz w:val="16"/>
              </w:rPr>
              <w:t>System records</w:t>
            </w:r>
          </w:p>
        </w:tc>
        <w:tc>
          <w:tcPr>
            <w:tcW w:type="dxa" w:w="3888"/>
            <w:vAlign w:val="center"/>
          </w:tcPr>
          <w:p>
            <w:pPr>
              <w:spacing w:after="0"/>
            </w:pPr>
            <w:r>
              <w:rPr>
                <w:rFonts w:ascii="Arial" w:hAnsi="Arial"/>
                <w:sz w:val="16"/>
              </w:rPr>
              <w:t>Clinical or patient data is lost or corrupted.</w:t>
            </w:r>
          </w:p>
        </w:tc>
        <w:tc>
          <w:tcPr>
            <w:tcW w:type="dxa" w:w="1008"/>
            <w:vAlign w:val="center"/>
          </w:tcPr>
          <w:p>
            <w:pPr>
              <w:spacing w:after="0"/>
            </w:pPr>
            <w:r>
              <w:rPr>
                <w:rFonts w:ascii="Arial" w:hAnsi="Arial"/>
                <w:sz w:val="16"/>
              </w:rPr>
              <w:t>High</w:t>
            </w:r>
          </w:p>
        </w:tc>
        <w:tc>
          <w:tcPr>
            <w:tcW w:type="dxa" w:w="3168"/>
            <w:vAlign w:val="center"/>
          </w:tcPr>
          <w:p>
            <w:pPr>
              <w:spacing w:after="0"/>
            </w:pPr>
            <w:r>
              <w:rPr>
                <w:rFonts w:ascii="Arial" w:hAnsi="Arial"/>
                <w:sz w:val="16"/>
              </w:rPr>
              <w:t>Backup, replication and disaster-recovery measures.</w:t>
            </w:r>
          </w:p>
        </w:tc>
      </w:tr>
      <w:tr>
        <w:tc>
          <w:tcPr>
            <w:tcW w:type="dxa" w:w="2160"/>
            <w:vAlign w:val="center"/>
          </w:tcPr>
          <w:p>
            <w:pPr>
              <w:spacing w:after="0"/>
            </w:pPr>
            <w:r>
              <w:rPr>
                <w:rFonts w:ascii="Arial" w:hAnsi="Arial"/>
                <w:sz w:val="16"/>
              </w:rPr>
              <w:t>System activities</w:t>
            </w:r>
          </w:p>
        </w:tc>
        <w:tc>
          <w:tcPr>
            <w:tcW w:type="dxa" w:w="3888"/>
            <w:vAlign w:val="center"/>
          </w:tcPr>
          <w:p>
            <w:pPr>
              <w:spacing w:after="0"/>
            </w:pPr>
            <w:r>
              <w:rPr>
                <w:rFonts w:ascii="Arial" w:hAnsi="Arial"/>
                <w:sz w:val="16"/>
              </w:rPr>
              <w:t>The organisation cannot identify who accessed or modified a record.</w:t>
            </w:r>
          </w:p>
        </w:tc>
        <w:tc>
          <w:tcPr>
            <w:tcW w:type="dxa" w:w="1008"/>
            <w:vAlign w:val="center"/>
          </w:tcPr>
          <w:p>
            <w:pPr>
              <w:spacing w:after="0"/>
            </w:pPr>
            <w:r>
              <w:rPr>
                <w:rFonts w:ascii="Arial" w:hAnsi="Arial"/>
                <w:sz w:val="16"/>
              </w:rPr>
              <w:t>High</w:t>
            </w:r>
          </w:p>
        </w:tc>
        <w:tc>
          <w:tcPr>
            <w:tcW w:type="dxa" w:w="3168"/>
            <w:vAlign w:val="center"/>
          </w:tcPr>
          <w:p>
            <w:pPr>
              <w:spacing w:after="0"/>
            </w:pPr>
            <w:r>
              <w:rPr>
                <w:rFonts w:ascii="Arial" w:hAnsi="Arial"/>
                <w:sz w:val="16"/>
              </w:rPr>
              <w:t>Audit Trail recording user, action, time and affected record.</w:t>
            </w:r>
          </w:p>
        </w:tc>
      </w:tr>
    </w:tbl>
    <w:p/>
    <w:p>
      <w:pPr>
        <w:spacing w:before="160" w:after="60"/>
      </w:pPr>
      <w:r>
        <w:rPr>
          <w:b/>
          <w:sz w:val="26"/>
        </w:rPr>
        <w:t>5. Data Protection Controls Used in ACLRS</w:t>
      </w:r>
    </w:p>
    <w:p>
      <w:pPr>
        <w:spacing w:after="60"/>
      </w:pPr>
      <w:r>
        <w:rPr>
          <w:b/>
        </w:rPr>
        <w:t xml:space="preserve">Authentication and Multi-Factor Authentication (MFA): </w:t>
      </w:r>
      <w:r>
        <w:t>Registered users authenticate before accessing ACLRS. MFA provides an additional layer of protection for laboratory staff, clinicians and system administrators.</w:t>
      </w:r>
    </w:p>
    <w:p>
      <w:pPr>
        <w:spacing w:after="60"/>
      </w:pPr>
      <w:r>
        <w:rPr>
          <w:b/>
        </w:rPr>
        <w:t xml:space="preserve">Role-Based Access Control (RBAC): </w:t>
      </w:r>
      <w:r>
        <w:t>ACLRS assigns permissions according to roles such as patient, clinician, reception staff, specimen collector, laboratory technician, scientist, pathologist, manager and administrator.</w:t>
      </w:r>
    </w:p>
    <w:p>
      <w:pPr>
        <w:spacing w:after="60"/>
      </w:pPr>
      <w:r>
        <w:rPr>
          <w:b/>
        </w:rPr>
        <w:t xml:space="preserve">Patient Verification and Duplicate Detection: </w:t>
      </w:r>
      <w:r>
        <w:t>Patient identity is verified using multiple identifiers and the system detects possible duplicate patient records before a new record is created.</w:t>
      </w:r>
    </w:p>
    <w:p>
      <w:pPr>
        <w:spacing w:after="60"/>
      </w:pPr>
      <w:r>
        <w:rPr>
          <w:b/>
        </w:rPr>
        <w:t xml:space="preserve">Specimen Identification and Tracking: </w:t>
      </w:r>
      <w:r>
        <w:t>Specimens are registered against the relevant patient and test request, assigned a unique barcode or specimen identifier, and tracked through their laboratory lifecycle.</w:t>
      </w:r>
    </w:p>
    <w:p>
      <w:pPr>
        <w:spacing w:after="60"/>
      </w:pPr>
      <w:r>
        <w:rPr>
          <w:b/>
        </w:rPr>
        <w:t xml:space="preserve">Result Validation and Authorisation: </w:t>
      </w:r>
      <w:r>
        <w:t>Entered results are checked against validation rules and only authorised laboratory scientists or pathologists can approve and release laboratory results.</w:t>
      </w:r>
    </w:p>
    <w:p>
      <w:pPr>
        <w:spacing w:after="60"/>
      </w:pPr>
      <w:r>
        <w:rPr>
          <w:b/>
        </w:rPr>
        <w:t xml:space="preserve">Encryption: </w:t>
      </w:r>
      <w:r>
        <w:t>The ACLRS project requires secure methods for data encryption and protection of sensitive patient information during storage and transmission.</w:t>
      </w:r>
    </w:p>
    <w:p>
      <w:pPr>
        <w:spacing w:after="60"/>
      </w:pPr>
      <w:r>
        <w:rPr>
          <w:b/>
        </w:rPr>
        <w:t xml:space="preserve">Controlled Report Distribution: </w:t>
      </w:r>
      <w:r>
        <w:t>Authorised reports are distributed only through approved channels such as the clinician portal, patient portal, secure notification or printable report.</w:t>
      </w:r>
    </w:p>
    <w:p>
      <w:pPr>
        <w:spacing w:after="60"/>
      </w:pPr>
      <w:r>
        <w:rPr>
          <w:b/>
        </w:rPr>
        <w:t xml:space="preserve">Audit Trail: </w:t>
      </w:r>
      <w:r>
        <w:t>ACLRS records important activities including login attempts, patient record access, specimen updates, result entry/modification, report authorisation, report access and administrative changes.</w:t>
      </w:r>
    </w:p>
    <w:p>
      <w:pPr>
        <w:spacing w:after="60"/>
      </w:pPr>
      <w:r>
        <w:rPr>
          <w:b/>
        </w:rPr>
        <w:t xml:space="preserve">Backup and Recovery: </w:t>
      </w:r>
      <w:r>
        <w:t>The project requires backup, replication and disaster-recovery measures to reduce the impact of data loss or database corruption.</w:t>
      </w:r>
    </w:p>
    <w:p>
      <w:pPr>
        <w:spacing w:before="160" w:after="60"/>
      </w:pPr>
      <w:r>
        <w:rPr>
          <w:b/>
          <w:sz w:val="26"/>
        </w:rPr>
        <w:t>6. Data Protection Impact on the ACLRS Workflow</w:t>
      </w:r>
    </w:p>
    <w:p>
      <w:r>
        <w:t>The highest data-protection impact within ACLRS occurs across the core laboratory information chain:</w:t>
      </w:r>
    </w:p>
    <w:p>
      <w:pPr>
        <w:jc w:val="center"/>
      </w:pPr>
      <w:r>
        <w:rPr>
          <w:b/>
        </w:rPr>
        <w:t>Patient Identity  →  Test Request  →  Specimen  →  Test Result  →  Laboratory Report</w:t>
      </w:r>
    </w:p>
    <w:p>
      <w:r>
        <w:t>An error, unauthorised modification or disclosure at any stage could affect patient privacy, laboratory information integrity and the reliability of the final report. ACLRS therefore applies protection at multiple stages rather than relying only on login security.</w:t>
      </w:r>
    </w:p>
    <w:p>
      <w:pPr>
        <w:jc w:val="center"/>
      </w:pPr>
      <w:r>
        <w:rPr>
          <w:b/>
        </w:rPr>
        <w:t>Authentication  →  Role Permission  →  Data Validation  →  Result Authorisation  →  Controlled Distribution  →  Audit Trail</w:t>
      </w:r>
    </w:p>
    <w:p>
      <w:pPr>
        <w:spacing w:before="160" w:after="60"/>
      </w:pPr>
      <w:r>
        <w:rPr>
          <w:b/>
          <w:sz w:val="26"/>
        </w:rPr>
        <w:t>7. Relationship to ACLRS Functional Requirements</w:t>
      </w:r>
    </w:p>
    <w:tbl>
      <w:tblPr>
        <w:tblStyle w:val="TableGrid"/>
        <w:tblW w:type="auto" w:w="0"/>
        <w:jc w:val="center"/>
        <w:tblLook w:firstColumn="1" w:firstRow="1" w:lastColumn="0" w:lastRow="0" w:noHBand="0" w:noVBand="1" w:val="04A0"/>
      </w:tblPr>
      <w:tblGrid>
        <w:gridCol w:w="5112"/>
        <w:gridCol w:w="5112"/>
      </w:tblGrid>
      <w:tr>
        <w:tc>
          <w:tcPr>
            <w:tcW w:type="dxa" w:w="3744"/>
            <w:shd w:fill="D9E2F3"/>
            <w:vAlign w:val="center"/>
          </w:tcPr>
          <w:p>
            <w:r>
              <w:rPr>
                <w:rFonts w:ascii="Arial" w:hAnsi="Arial"/>
                <w:b/>
                <w:sz w:val="17"/>
              </w:rPr>
              <w:t>Protection Area</w:t>
            </w:r>
          </w:p>
        </w:tc>
        <w:tc>
          <w:tcPr>
            <w:tcW w:type="dxa" w:w="6336"/>
            <w:shd w:fill="D9E2F3"/>
            <w:vAlign w:val="center"/>
          </w:tcPr>
          <w:p>
            <w:r>
              <w:rPr>
                <w:rFonts w:ascii="Arial" w:hAnsi="Arial"/>
                <w:b/>
                <w:sz w:val="17"/>
              </w:rPr>
              <w:t>Relevant ACLRS Requirements</w:t>
            </w:r>
          </w:p>
        </w:tc>
      </w:tr>
      <w:tr>
        <w:tc>
          <w:tcPr>
            <w:tcW w:type="dxa" w:w="3744"/>
            <w:vAlign w:val="center"/>
          </w:tcPr>
          <w:p>
            <w:pPr>
              <w:spacing w:after="0"/>
            </w:pPr>
            <w:r>
              <w:rPr>
                <w:rFonts w:ascii="Arial" w:hAnsi="Arial"/>
                <w:sz w:val="16"/>
              </w:rPr>
              <w:t>Authentication and MFA</w:t>
            </w:r>
          </w:p>
        </w:tc>
        <w:tc>
          <w:tcPr>
            <w:tcW w:type="dxa" w:w="6336"/>
            <w:vAlign w:val="center"/>
          </w:tcPr>
          <w:p>
            <w:pPr>
              <w:spacing w:after="0"/>
            </w:pPr>
            <w:r>
              <w:rPr>
                <w:rFonts w:ascii="Arial" w:hAnsi="Arial"/>
                <w:sz w:val="16"/>
              </w:rPr>
              <w:t>FR2 User Authentication; FR3 Multi-Factor Authentication</w:t>
            </w:r>
          </w:p>
        </w:tc>
      </w:tr>
      <w:tr>
        <w:tc>
          <w:tcPr>
            <w:tcW w:type="dxa" w:w="3744"/>
            <w:vAlign w:val="center"/>
          </w:tcPr>
          <w:p>
            <w:pPr>
              <w:spacing w:after="0"/>
            </w:pPr>
            <w:r>
              <w:rPr>
                <w:rFonts w:ascii="Arial" w:hAnsi="Arial"/>
                <w:sz w:val="16"/>
              </w:rPr>
              <w:t>Access Control</w:t>
            </w:r>
          </w:p>
        </w:tc>
        <w:tc>
          <w:tcPr>
            <w:tcW w:type="dxa" w:w="6336"/>
            <w:vAlign w:val="center"/>
          </w:tcPr>
          <w:p>
            <w:pPr>
              <w:spacing w:after="0"/>
            </w:pPr>
            <w:r>
              <w:rPr>
                <w:rFonts w:ascii="Arial" w:hAnsi="Arial"/>
                <w:sz w:val="16"/>
              </w:rPr>
              <w:t>FR4 Role-Based Access Control; FR5 User Account Management</w:t>
            </w:r>
          </w:p>
        </w:tc>
      </w:tr>
      <w:tr>
        <w:tc>
          <w:tcPr>
            <w:tcW w:type="dxa" w:w="3744"/>
            <w:vAlign w:val="center"/>
          </w:tcPr>
          <w:p>
            <w:pPr>
              <w:spacing w:after="0"/>
            </w:pPr>
            <w:r>
              <w:rPr>
                <w:rFonts w:ascii="Arial" w:hAnsi="Arial"/>
                <w:sz w:val="16"/>
              </w:rPr>
              <w:t>Patient Data Accuracy</w:t>
            </w:r>
          </w:p>
        </w:tc>
        <w:tc>
          <w:tcPr>
            <w:tcW w:type="dxa" w:w="6336"/>
            <w:vAlign w:val="center"/>
          </w:tcPr>
          <w:p>
            <w:pPr>
              <w:spacing w:after="0"/>
            </w:pPr>
            <w:r>
              <w:rPr>
                <w:rFonts w:ascii="Arial" w:hAnsi="Arial"/>
                <w:sz w:val="16"/>
              </w:rPr>
              <w:t>FR8 Patient Identity Verification; FR10 Duplicate Patient Detection</w:t>
            </w:r>
          </w:p>
        </w:tc>
      </w:tr>
      <w:tr>
        <w:tc>
          <w:tcPr>
            <w:tcW w:type="dxa" w:w="3744"/>
            <w:vAlign w:val="center"/>
          </w:tcPr>
          <w:p>
            <w:pPr>
              <w:spacing w:after="0"/>
            </w:pPr>
            <w:r>
              <w:rPr>
                <w:rFonts w:ascii="Arial" w:hAnsi="Arial"/>
                <w:sz w:val="16"/>
              </w:rPr>
              <w:t>Specimen Integrity</w:t>
            </w:r>
          </w:p>
        </w:tc>
        <w:tc>
          <w:tcPr>
            <w:tcW w:type="dxa" w:w="6336"/>
            <w:vAlign w:val="center"/>
          </w:tcPr>
          <w:p>
            <w:pPr>
              <w:spacing w:after="0"/>
            </w:pPr>
            <w:r>
              <w:rPr>
                <w:rFonts w:ascii="Arial" w:hAnsi="Arial"/>
                <w:sz w:val="16"/>
              </w:rPr>
              <w:t>FR17 Specimen Registration; FR18 Barcode Generation; FR21 Specimen Tracking</w:t>
            </w:r>
          </w:p>
        </w:tc>
      </w:tr>
      <w:tr>
        <w:tc>
          <w:tcPr>
            <w:tcW w:type="dxa" w:w="3744"/>
            <w:vAlign w:val="center"/>
          </w:tcPr>
          <w:p>
            <w:pPr>
              <w:spacing w:after="0"/>
            </w:pPr>
            <w:r>
              <w:rPr>
                <w:rFonts w:ascii="Arial" w:hAnsi="Arial"/>
                <w:sz w:val="16"/>
              </w:rPr>
              <w:t>Result Integrity</w:t>
            </w:r>
          </w:p>
        </w:tc>
        <w:tc>
          <w:tcPr>
            <w:tcW w:type="dxa" w:w="6336"/>
            <w:vAlign w:val="center"/>
          </w:tcPr>
          <w:p>
            <w:pPr>
              <w:spacing w:after="0"/>
            </w:pPr>
            <w:r>
              <w:rPr>
                <w:rFonts w:ascii="Arial" w:hAnsi="Arial"/>
                <w:sz w:val="16"/>
              </w:rPr>
              <w:t>FR29 Result Validation Rules; FR30 Abnormal Result Identification; FR33 Result Review; FR35 Result Authorisation</w:t>
            </w:r>
          </w:p>
        </w:tc>
      </w:tr>
      <w:tr>
        <w:tc>
          <w:tcPr>
            <w:tcW w:type="dxa" w:w="3744"/>
            <w:vAlign w:val="center"/>
          </w:tcPr>
          <w:p>
            <w:pPr>
              <w:spacing w:after="0"/>
            </w:pPr>
            <w:r>
              <w:rPr>
                <w:rFonts w:ascii="Arial" w:hAnsi="Arial"/>
                <w:sz w:val="16"/>
              </w:rPr>
              <w:t>Critical Information</w:t>
            </w:r>
          </w:p>
        </w:tc>
        <w:tc>
          <w:tcPr>
            <w:tcW w:type="dxa" w:w="6336"/>
            <w:vAlign w:val="center"/>
          </w:tcPr>
          <w:p>
            <w:pPr>
              <w:spacing w:after="0"/>
            </w:pPr>
            <w:r>
              <w:rPr>
                <w:rFonts w:ascii="Arial" w:hAnsi="Arial"/>
                <w:sz w:val="16"/>
              </w:rPr>
              <w:t>FR31 Critical Result Alerts; FR32 Critical Result Acknowledgement</w:t>
            </w:r>
          </w:p>
        </w:tc>
      </w:tr>
      <w:tr>
        <w:tc>
          <w:tcPr>
            <w:tcW w:type="dxa" w:w="3744"/>
            <w:vAlign w:val="center"/>
          </w:tcPr>
          <w:p>
            <w:pPr>
              <w:spacing w:after="0"/>
            </w:pPr>
            <w:r>
              <w:rPr>
                <w:rFonts w:ascii="Arial" w:hAnsi="Arial"/>
                <w:sz w:val="16"/>
              </w:rPr>
              <w:t>Report Protection</w:t>
            </w:r>
          </w:p>
        </w:tc>
        <w:tc>
          <w:tcPr>
            <w:tcW w:type="dxa" w:w="6336"/>
            <w:vAlign w:val="center"/>
          </w:tcPr>
          <w:p>
            <w:pPr>
              <w:spacing w:after="0"/>
            </w:pPr>
            <w:r>
              <w:rPr>
                <w:rFonts w:ascii="Arial" w:hAnsi="Arial"/>
                <w:sz w:val="16"/>
              </w:rPr>
              <w:t>FR37 Laboratory Report Generation; FR39 Report Distribution</w:t>
            </w:r>
          </w:p>
        </w:tc>
      </w:tr>
      <w:tr>
        <w:tc>
          <w:tcPr>
            <w:tcW w:type="dxa" w:w="3744"/>
            <w:vAlign w:val="center"/>
          </w:tcPr>
          <w:p>
            <w:pPr>
              <w:spacing w:after="0"/>
            </w:pPr>
            <w:r>
              <w:rPr>
                <w:rFonts w:ascii="Arial" w:hAnsi="Arial"/>
                <w:sz w:val="16"/>
              </w:rPr>
              <w:t>Accountability</w:t>
            </w:r>
          </w:p>
        </w:tc>
        <w:tc>
          <w:tcPr>
            <w:tcW w:type="dxa" w:w="6336"/>
            <w:vAlign w:val="center"/>
          </w:tcPr>
          <w:p>
            <w:pPr>
              <w:spacing w:after="0"/>
            </w:pPr>
            <w:r>
              <w:rPr>
                <w:rFonts w:ascii="Arial" w:hAnsi="Arial"/>
                <w:sz w:val="16"/>
              </w:rPr>
              <w:t>FR44 Audit Trail</w:t>
            </w:r>
          </w:p>
        </w:tc>
      </w:tr>
    </w:tbl>
    <w:p/>
    <w:p>
      <w:pPr>
        <w:spacing w:before="160" w:after="60"/>
      </w:pPr>
      <w:r>
        <w:rPr>
          <w:b/>
          <w:sz w:val="26"/>
        </w:rPr>
        <w:t>8. DPIA Conclusion</w:t>
      </w:r>
    </w:p>
    <w:p>
      <w:r>
        <w:t>ACLRS processes patient identification, user account, clinician, specimen, laboratory result and report information. The primary data-protection risks identified within the project are unauthorised access, incorrect or duplicate patient records, unauthorised modification of clinical information, inappropriate disclosure of laboratory reports, data breaches and data loss.</w:t>
      </w:r>
    </w:p>
    <w:p>
      <w:r>
        <w:t>The ACLRS design addresses these risks through authentication, MFA, role-based access control, patient verification, duplicate detection, specimen identification and tracking, result validation and authorisation, encryption, controlled report distribution, audit trails and backup mechanisms.</w:t>
      </w:r>
    </w:p>
    <w:p>
      <w:r>
        <w:t>Therefore, data protection must be maintained throughout the complete ACLRS laboratory workflow, from patient registration through to the release and access of the final laboratory report.</w:t>
      </w:r>
    </w:p>
    <w:p>
      <w:pPr>
        <w:spacing w:before="120"/>
      </w:pPr>
      <w:r>
        <w:rPr>
          <w:b/>
        </w:rPr>
        <w:t xml:space="preserve">Overall Assessment: </w:t>
      </w:r>
      <w:r>
        <w:t>The ACLRS project contains significant privacy and data-security risks because it processes sensitive patient and laboratory information. The project may proceed provided that the specified privacy, security, access-control, audit and recovery controls are implemented and verified during system development and testing.</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