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Table (FR1–FR47)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Functional 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t>FR1</w:t>
            </w:r>
          </w:p>
        </w:tc>
        <w:tc>
          <w:tcPr>
            <w:tcW w:type="dxa" w:w="1728"/>
          </w:tcPr>
          <w:p>
            <w:r>
              <w:t>User   Registration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Patient/Clinician/Laboratory   Staff</w:t>
            </w:r>
          </w:p>
        </w:tc>
        <w:tc>
          <w:tcPr>
            <w:tcW w:type="dxa" w:w="1728"/>
          </w:tcPr>
          <w:p>
            <w:r>
              <w:t>Authorised   users can register a new account using verified personal or professional   information.</w:t>
            </w:r>
          </w:p>
        </w:tc>
      </w:tr>
      <w:tr>
        <w:tc>
          <w:tcPr>
            <w:tcW w:type="dxa" w:w="1728"/>
          </w:tcPr>
          <w:p>
            <w:r>
              <w:t>FR2</w:t>
            </w:r>
          </w:p>
        </w:tc>
        <w:tc>
          <w:tcPr>
            <w:tcW w:type="dxa" w:w="1728"/>
          </w:tcPr>
          <w:p>
            <w:r>
              <w:t>User   Authentication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Patient/Clinician/Laboratory   Staff</w:t>
            </w:r>
          </w:p>
        </w:tc>
        <w:tc>
          <w:tcPr>
            <w:tcW w:type="dxa" w:w="1728"/>
          </w:tcPr>
          <w:p>
            <w:r>
              <w:t>Registered   users can log in securely using a username/email and password.</w:t>
            </w:r>
          </w:p>
        </w:tc>
      </w:tr>
      <w:tr>
        <w:tc>
          <w:tcPr>
            <w:tcW w:type="dxa" w:w="1728"/>
          </w:tcPr>
          <w:p>
            <w:r>
              <w:t>FR3</w:t>
            </w:r>
          </w:p>
        </w:tc>
        <w:tc>
          <w:tcPr>
            <w:tcW w:type="dxa" w:w="1728"/>
          </w:tcPr>
          <w:p>
            <w:r>
              <w:t>Multi-Factor   Authentication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Patient/Clinician/Laboratory   Staff</w:t>
            </w:r>
          </w:p>
        </w:tc>
        <w:tc>
          <w:tcPr>
            <w:tcW w:type="dxa" w:w="1728"/>
          </w:tcPr>
          <w:p>
            <w:r>
              <w:t>Additional   verification is required for laboratory staff, clinicians, and   administrators.</w:t>
            </w:r>
          </w:p>
        </w:tc>
      </w:tr>
      <w:tr>
        <w:tc>
          <w:tcPr>
            <w:tcW w:type="dxa" w:w="1728"/>
          </w:tcPr>
          <w:p>
            <w:r>
              <w:t>FR4</w:t>
            </w:r>
          </w:p>
        </w:tc>
        <w:tc>
          <w:tcPr>
            <w:tcW w:type="dxa" w:w="1728"/>
          </w:tcPr>
          <w:p>
            <w:r>
              <w:t>Role-Based   Access Control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Assign   and manage user permissions according to their roles within the system.</w:t>
            </w:r>
          </w:p>
        </w:tc>
      </w:tr>
      <w:tr>
        <w:tc>
          <w:tcPr>
            <w:tcW w:type="dxa" w:w="1728"/>
          </w:tcPr>
          <w:p>
            <w:r>
              <w:t>FR5</w:t>
            </w:r>
          </w:p>
        </w:tc>
        <w:tc>
          <w:tcPr>
            <w:tcW w:type="dxa" w:w="1728"/>
          </w:tcPr>
          <w:p>
            <w:r>
              <w:t>User   Account Management</w:t>
            </w:r>
          </w:p>
        </w:tc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Administrators   can create, update, activate, suspend or deactivate user accounts.</w:t>
            </w:r>
          </w:p>
        </w:tc>
      </w:tr>
      <w:tr>
        <w:tc>
          <w:tcPr>
            <w:tcW w:type="dxa" w:w="1728"/>
          </w:tcPr>
          <w:p>
            <w:r>
              <w:t>FR6</w:t>
            </w:r>
          </w:p>
        </w:tc>
        <w:tc>
          <w:tcPr>
            <w:tcW w:type="dxa" w:w="1728"/>
          </w:tcPr>
          <w:p>
            <w:r>
              <w:t>User Profile   Management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Patient/Clinician/Laboratory   Staff</w:t>
            </w:r>
          </w:p>
        </w:tc>
        <w:tc>
          <w:tcPr>
            <w:tcW w:type="dxa" w:w="1728"/>
          </w:tcPr>
          <w:p>
            <w:r>
              <w:t>Users   can view and update their profile information, contact details, and   notification preferences.</w:t>
            </w:r>
          </w:p>
        </w:tc>
      </w:tr>
      <w:tr>
        <w:tc>
          <w:tcPr>
            <w:tcW w:type="dxa" w:w="1728"/>
          </w:tcPr>
          <w:p>
            <w:r>
              <w:t>FR7</w:t>
            </w:r>
          </w:p>
        </w:tc>
        <w:tc>
          <w:tcPr>
            <w:tcW w:type="dxa" w:w="1728"/>
          </w:tcPr>
          <w:p>
            <w:r>
              <w:t>Patient   Registration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Reception   Staff</w:t>
            </w:r>
          </w:p>
        </w:tc>
        <w:tc>
          <w:tcPr>
            <w:tcW w:type="dxa" w:w="1728"/>
          </w:tcPr>
          <w:p>
            <w:r>
              <w:t>Reception   staff register a new patient by recording personal, contact, and   Medicare/insurance information.</w:t>
            </w:r>
          </w:p>
        </w:tc>
      </w:tr>
      <w:tr>
        <w:tc>
          <w:tcPr>
            <w:tcW w:type="dxa" w:w="1728"/>
          </w:tcPr>
          <w:p>
            <w:r>
              <w:t>FR8</w:t>
            </w:r>
          </w:p>
        </w:tc>
        <w:tc>
          <w:tcPr>
            <w:tcW w:type="dxa" w:w="1728"/>
          </w:tcPr>
          <w:p>
            <w:r>
              <w:t>Patient   Identity Verification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Reception   Staff</w:t>
            </w:r>
          </w:p>
        </w:tc>
        <w:tc>
          <w:tcPr>
            <w:tcW w:type="dxa" w:w="1728"/>
          </w:tcPr>
          <w:p>
            <w:r>
              <w:t>Reception   staff verify patient identity using multiple identifiers before providing   laboratory services.</w:t>
            </w:r>
          </w:p>
        </w:tc>
      </w:tr>
      <w:tr>
        <w:tc>
          <w:tcPr>
            <w:tcW w:type="dxa" w:w="1728"/>
          </w:tcPr>
          <w:p>
            <w:r>
              <w:t>FR9</w:t>
            </w:r>
          </w:p>
        </w:tc>
        <w:tc>
          <w:tcPr>
            <w:tcW w:type="dxa" w:w="1728"/>
          </w:tcPr>
          <w:p>
            <w:r>
              <w:t>Patient   Record Search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Reception   Staff/Clinician/Laboratory Staff</w:t>
            </w:r>
          </w:p>
        </w:tc>
        <w:tc>
          <w:tcPr>
            <w:tcW w:type="dxa" w:w="1728"/>
          </w:tcPr>
          <w:p>
            <w:r>
              <w:t>Authorised   users search patient records using patient ID, name, phone number, date of   birth, or referral number.</w:t>
            </w:r>
          </w:p>
        </w:tc>
      </w:tr>
      <w:tr>
        <w:tc>
          <w:tcPr>
            <w:tcW w:type="dxa" w:w="1728"/>
          </w:tcPr>
          <w:p>
            <w:r>
              <w:t>FR10</w:t>
            </w:r>
          </w:p>
        </w:tc>
        <w:tc>
          <w:tcPr>
            <w:tcW w:type="dxa" w:w="1728"/>
          </w:tcPr>
          <w:p>
            <w:r>
              <w:t>Duplicate   Patient Detection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detects potential duplicate patient records before   creating a new record.</w:t>
            </w:r>
          </w:p>
        </w:tc>
      </w:tr>
      <w:tr>
        <w:tc>
          <w:tcPr>
            <w:tcW w:type="dxa" w:w="1728"/>
          </w:tcPr>
          <w:p>
            <w:r>
              <w:t>FR11</w:t>
            </w:r>
          </w:p>
        </w:tc>
        <w:tc>
          <w:tcPr>
            <w:tcW w:type="dxa" w:w="1728"/>
          </w:tcPr>
          <w:p>
            <w:r>
              <w:t>Laboratory   Test Catalogue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maintain and update the catalogue of available laboratory tests and   related information.</w:t>
            </w:r>
          </w:p>
        </w:tc>
      </w:tr>
      <w:tr>
        <w:tc>
          <w:tcPr>
            <w:tcW w:type="dxa" w:w="1728"/>
          </w:tcPr>
          <w:p>
            <w:r>
              <w:t>FR12</w:t>
            </w:r>
          </w:p>
        </w:tc>
        <w:tc>
          <w:tcPr>
            <w:tcW w:type="dxa" w:w="1728"/>
          </w:tcPr>
          <w:p>
            <w:r>
              <w:t>Test   Request Creation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Clinician/Reception   Staff</w:t>
            </w:r>
          </w:p>
        </w:tc>
        <w:tc>
          <w:tcPr>
            <w:tcW w:type="dxa" w:w="1728"/>
          </w:tcPr>
          <w:p>
            <w:r>
              <w:t>Clinicians   or authorised staff create laboratory test requests for registered patients.</w:t>
            </w:r>
          </w:p>
        </w:tc>
      </w:tr>
      <w:tr>
        <w:tc>
          <w:tcPr>
            <w:tcW w:type="dxa" w:w="1728"/>
          </w:tcPr>
          <w:p>
            <w:r>
              <w:t>FR13</w:t>
            </w:r>
          </w:p>
        </w:tc>
        <w:tc>
          <w:tcPr>
            <w:tcW w:type="dxa" w:w="1728"/>
          </w:tcPr>
          <w:p>
            <w:r>
              <w:t>Electronic   Referral Management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Clinician</w:t>
            </w:r>
          </w:p>
        </w:tc>
        <w:tc>
          <w:tcPr>
            <w:tcW w:type="dxa" w:w="1728"/>
          </w:tcPr>
          <w:p>
            <w:r>
              <w:t>Clinicians   submit electronic referrals containing patient and clinical information.</w:t>
            </w:r>
          </w:p>
        </w:tc>
      </w:tr>
      <w:tr>
        <w:tc>
          <w:tcPr>
            <w:tcW w:type="dxa" w:w="1728"/>
          </w:tcPr>
          <w:p>
            <w:r>
              <w:t>FR14</w:t>
            </w:r>
          </w:p>
        </w:tc>
        <w:tc>
          <w:tcPr>
            <w:tcW w:type="dxa" w:w="1728"/>
          </w:tcPr>
          <w:p>
            <w:r>
              <w:t>Test   Request Validation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validates mandatory patient, clinician, and test information before   accepting a request.</w:t>
            </w:r>
          </w:p>
        </w:tc>
      </w:tr>
      <w:tr>
        <w:tc>
          <w:tcPr>
            <w:tcW w:type="dxa" w:w="1728"/>
          </w:tcPr>
          <w:p>
            <w:r>
              <w:t>FR15</w:t>
            </w:r>
          </w:p>
        </w:tc>
        <w:tc>
          <w:tcPr>
            <w:tcW w:type="dxa" w:w="1728"/>
          </w:tcPr>
          <w:p>
            <w:r>
              <w:t>Test   Request Priority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Clinician/Reception   Staff</w:t>
            </w:r>
          </w:p>
        </w:tc>
        <w:tc>
          <w:tcPr>
            <w:tcW w:type="dxa" w:w="1728"/>
          </w:tcPr>
          <w:p>
            <w:r>
              <w:t>Authorised   users assign a priority level (Routine, Urgent, Critical, or Time-sensitive)   to a test request.</w:t>
            </w:r>
          </w:p>
        </w:tc>
      </w:tr>
      <w:tr>
        <w:tc>
          <w:tcPr>
            <w:tcW w:type="dxa" w:w="1728"/>
          </w:tcPr>
          <w:p>
            <w:r>
              <w:t>FR16</w:t>
            </w:r>
          </w:p>
        </w:tc>
        <w:tc>
          <w:tcPr>
            <w:tcW w:type="dxa" w:w="1728"/>
          </w:tcPr>
          <w:p>
            <w:r>
              <w:t>Test   Request Modification</w:t>
            </w:r>
          </w:p>
        </w:tc>
        <w:tc>
          <w:tcPr>
            <w:tcW w:type="dxa" w:w="1728"/>
          </w:tcPr>
          <w:p>
            <w:r>
              <w:t>Update/Delete</w:t>
            </w:r>
          </w:p>
        </w:tc>
        <w:tc>
          <w:tcPr>
            <w:tcW w:type="dxa" w:w="1728"/>
          </w:tcPr>
          <w:p>
            <w:r>
              <w:t>Clinician/Reception   Staff</w:t>
            </w:r>
          </w:p>
        </w:tc>
        <w:tc>
          <w:tcPr>
            <w:tcW w:type="dxa" w:w="1728"/>
          </w:tcPr>
          <w:p>
            <w:r>
              <w:t>Authorised   users modify or cancel test requests before testing begins, and the system   records the reason for the change.</w:t>
            </w:r>
          </w:p>
        </w:tc>
      </w:tr>
      <w:tr>
        <w:tc>
          <w:tcPr>
            <w:tcW w:type="dxa" w:w="1728"/>
          </w:tcPr>
          <w:p>
            <w:r>
              <w:t>FR17</w:t>
            </w:r>
          </w:p>
        </w:tc>
        <w:tc>
          <w:tcPr>
            <w:tcW w:type="dxa" w:w="1728"/>
          </w:tcPr>
          <w:p>
            <w:r>
              <w:t>Specimen   Registration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Specimen   Collector</w:t>
            </w:r>
          </w:p>
        </w:tc>
        <w:tc>
          <w:tcPr>
            <w:tcW w:type="dxa" w:w="1728"/>
          </w:tcPr>
          <w:p>
            <w:r>
              <w:t>Specimen   collectors register each collected specimen against the corresponding patient   and test request.</w:t>
            </w:r>
          </w:p>
        </w:tc>
      </w:tr>
      <w:tr>
        <w:tc>
          <w:tcPr>
            <w:tcW w:type="dxa" w:w="1728"/>
          </w:tcPr>
          <w:p>
            <w:r>
              <w:t>FR18</w:t>
            </w:r>
          </w:p>
        </w:tc>
        <w:tc>
          <w:tcPr>
            <w:tcW w:type="dxa" w:w="1728"/>
          </w:tcPr>
          <w:p>
            <w:r>
              <w:t>Barcode   Generation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generates a unique barcode or specimen identification number for each   specimen.</w:t>
            </w:r>
          </w:p>
        </w:tc>
      </w:tr>
      <w:tr>
        <w:tc>
          <w:tcPr>
            <w:tcW w:type="dxa" w:w="1728"/>
          </w:tcPr>
          <w:p>
            <w:r>
              <w:t>FR19</w:t>
            </w:r>
          </w:p>
        </w:tc>
        <w:tc>
          <w:tcPr>
            <w:tcW w:type="dxa" w:w="1728"/>
          </w:tcPr>
          <w:p>
            <w:r>
              <w:t>Specimen   Label Printing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Specimen   Collector</w:t>
            </w:r>
          </w:p>
        </w:tc>
        <w:tc>
          <w:tcPr>
            <w:tcW w:type="dxa" w:w="1728"/>
          </w:tcPr>
          <w:p>
            <w:r>
              <w:t>Specimen   collectors print specimen labels containing patient and specimen information.</w:t>
            </w:r>
          </w:p>
        </w:tc>
      </w:tr>
      <w:tr>
        <w:tc>
          <w:tcPr>
            <w:tcW w:type="dxa" w:w="1728"/>
          </w:tcPr>
          <w:p>
            <w:r>
              <w:t>FR20</w:t>
            </w:r>
          </w:p>
        </w:tc>
        <w:tc>
          <w:tcPr>
            <w:tcW w:type="dxa" w:w="1728"/>
          </w:tcPr>
          <w:p>
            <w:r>
              <w:t>Specimen   Collection Recording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Specimen   Collector</w:t>
            </w:r>
          </w:p>
        </w:tc>
        <w:tc>
          <w:tcPr>
            <w:tcW w:type="dxa" w:w="1728"/>
          </w:tcPr>
          <w:p>
            <w:r>
              <w:t>Specimen   collectors record collection details, including date, time, location,   collector identity, and specimen type.</w:t>
            </w:r>
          </w:p>
        </w:tc>
      </w:tr>
      <w:tr>
        <w:tc>
          <w:tcPr>
            <w:tcW w:type="dxa" w:w="1728"/>
          </w:tcPr>
          <w:p>
            <w:r>
              <w:t>FR21</w:t>
            </w:r>
          </w:p>
        </w:tc>
        <w:tc>
          <w:tcPr>
            <w:tcW w:type="dxa" w:w="1728"/>
          </w:tcPr>
          <w:p>
            <w:r>
              <w:t>Specimen   Tracking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tracks specimen status throughout the laboratory testing lifecycle.</w:t>
            </w:r>
          </w:p>
        </w:tc>
      </w:tr>
      <w:tr>
        <w:tc>
          <w:tcPr>
            <w:tcW w:type="dxa" w:w="1728"/>
          </w:tcPr>
          <w:p>
            <w:r>
              <w:t>FR22</w:t>
            </w:r>
          </w:p>
        </w:tc>
        <w:tc>
          <w:tcPr>
            <w:tcW w:type="dxa" w:w="1728"/>
          </w:tcPr>
          <w:p>
            <w:r>
              <w:t>Specimen   Receipt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Laboratory   Staff</w:t>
            </w:r>
          </w:p>
        </w:tc>
        <w:tc>
          <w:tcPr>
            <w:tcW w:type="dxa" w:w="1728"/>
          </w:tcPr>
          <w:p>
            <w:r>
              <w:t>Laboratory   staff confirm specimen receipt and record specimen condition, date, time, and   receiving staff member.</w:t>
            </w:r>
          </w:p>
        </w:tc>
      </w:tr>
      <w:tr>
        <w:tc>
          <w:tcPr>
            <w:tcW w:type="dxa" w:w="1728"/>
          </w:tcPr>
          <w:p>
            <w:r>
              <w:t>FR23</w:t>
            </w:r>
          </w:p>
        </w:tc>
        <w:tc>
          <w:tcPr>
            <w:tcW w:type="dxa" w:w="1728"/>
          </w:tcPr>
          <w:p>
            <w:r>
              <w:t>Specimen   Acceptance and Rejection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staff accept or reject specimens and record rejection reasons and follow-up   actions when applicable.</w:t>
            </w:r>
          </w:p>
        </w:tc>
      </w:tr>
      <w:tr>
        <w:tc>
          <w:tcPr>
            <w:tcW w:type="dxa" w:w="1728"/>
          </w:tcPr>
          <w:p>
            <w:r>
              <w:t>FR24</w:t>
            </w:r>
          </w:p>
        </w:tc>
        <w:tc>
          <w:tcPr>
            <w:tcW w:type="dxa" w:w="1728"/>
          </w:tcPr>
          <w:p>
            <w:r>
              <w:t>Specimen   Recollection Request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staff request specimen recollection and notify the referring clinician or   collection centre.</w:t>
            </w:r>
          </w:p>
        </w:tc>
      </w:tr>
      <w:tr>
        <w:tc>
          <w:tcPr>
            <w:tcW w:type="dxa" w:w="1728"/>
          </w:tcPr>
          <w:p>
            <w:r>
              <w:t>FR25</w:t>
            </w:r>
          </w:p>
        </w:tc>
        <w:tc>
          <w:tcPr>
            <w:tcW w:type="dxa" w:w="1728"/>
          </w:tcPr>
          <w:p>
            <w:r>
              <w:t>Laboratory   Worklist Generation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Technician</w:t>
            </w:r>
          </w:p>
        </w:tc>
        <w:tc>
          <w:tcPr>
            <w:tcW w:type="dxa" w:w="1728"/>
          </w:tcPr>
          <w:p>
            <w:r>
              <w:t>Laboratory   managers generate worklists based on test type, priority, department, and   specimen status.</w:t>
            </w:r>
          </w:p>
        </w:tc>
      </w:tr>
      <w:tr>
        <w:tc>
          <w:tcPr>
            <w:tcW w:type="dxa" w:w="1728"/>
          </w:tcPr>
          <w:p>
            <w:r>
              <w:t>FR26</w:t>
            </w:r>
          </w:p>
        </w:tc>
        <w:tc>
          <w:tcPr>
            <w:tcW w:type="dxa" w:w="1728"/>
          </w:tcPr>
          <w:p>
            <w:r>
              <w:t>Test   Assignment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assign laboratory tests to staff, departments, or laboratory   analysers.</w:t>
            </w:r>
          </w:p>
        </w:tc>
      </w:tr>
      <w:tr>
        <w:tc>
          <w:tcPr>
            <w:tcW w:type="dxa" w:w="1728"/>
          </w:tcPr>
          <w:p>
            <w:r>
              <w:t>FR27</w:t>
            </w:r>
          </w:p>
        </w:tc>
        <w:tc>
          <w:tcPr>
            <w:tcW w:type="dxa" w:w="1728"/>
          </w:tcPr>
          <w:p>
            <w:r>
              <w:t>Test   Result Entry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Technician</w:t>
            </w:r>
          </w:p>
        </w:tc>
        <w:tc>
          <w:tcPr>
            <w:tcW w:type="dxa" w:w="1728"/>
          </w:tcPr>
          <w:p>
            <w:r>
              <w:t>Laboratory   technicians enter laboratory test results, observations, units, and comments.</w:t>
            </w:r>
          </w:p>
        </w:tc>
      </w:tr>
      <w:tr>
        <w:tc>
          <w:tcPr>
            <w:tcW w:type="dxa" w:w="1728"/>
          </w:tcPr>
          <w:p>
            <w:r>
              <w:t>FR28</w:t>
            </w:r>
          </w:p>
        </w:tc>
        <w:tc>
          <w:tcPr>
            <w:tcW w:type="dxa" w:w="1728"/>
          </w:tcPr>
          <w:p>
            <w:r>
              <w:t>Automated   Result Import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imports laboratory test results from compatible   analysers or approved external systems.</w:t>
            </w:r>
          </w:p>
        </w:tc>
      </w:tr>
      <w:tr>
        <w:tc>
          <w:tcPr>
            <w:tcW w:type="dxa" w:w="1728"/>
          </w:tcPr>
          <w:p>
            <w:r>
              <w:t>FR29</w:t>
            </w:r>
          </w:p>
        </w:tc>
        <w:tc>
          <w:tcPr>
            <w:tcW w:type="dxa" w:w="1728"/>
          </w:tcPr>
          <w:p>
            <w:r>
              <w:t>Result   Validation Rules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validates test results against reference ranges, patient information,   and test-specific rules.</w:t>
            </w:r>
          </w:p>
        </w:tc>
      </w:tr>
      <w:tr>
        <w:tc>
          <w:tcPr>
            <w:tcW w:type="dxa" w:w="1728"/>
          </w:tcPr>
          <w:p>
            <w:r>
              <w:t>FR30</w:t>
            </w:r>
          </w:p>
        </w:tc>
        <w:tc>
          <w:tcPr>
            <w:tcW w:type="dxa" w:w="1728"/>
          </w:tcPr>
          <w:p>
            <w:r>
              <w:t>Abnormal   Result Identification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identifies and flags abnormal laboratory results outside   the reference range.</w:t>
            </w:r>
          </w:p>
        </w:tc>
      </w:tr>
      <w:tr>
        <w:tc>
          <w:tcPr>
            <w:tcW w:type="dxa" w:w="1728"/>
          </w:tcPr>
          <w:p>
            <w:r>
              <w:t>FR31</w:t>
            </w:r>
          </w:p>
        </w:tc>
        <w:tc>
          <w:tcPr>
            <w:tcW w:type="dxa" w:w="1728"/>
          </w:tcPr>
          <w:p>
            <w:r>
              <w:t>Critical   Result Alerts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generates high-priority alerts when critical laboratory results are   detected.</w:t>
            </w:r>
          </w:p>
        </w:tc>
      </w:tr>
      <w:tr>
        <w:tc>
          <w:tcPr>
            <w:tcW w:type="dxa" w:w="1728"/>
          </w:tcPr>
          <w:p>
            <w:r>
              <w:t>FR32</w:t>
            </w:r>
          </w:p>
        </w:tc>
        <w:tc>
          <w:tcPr>
            <w:tcW w:type="dxa" w:w="1728"/>
          </w:tcPr>
          <w:p>
            <w:r>
              <w:t>Critical   Result Acknowledgement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Laboratory   Staff/ Clinician</w:t>
            </w:r>
          </w:p>
        </w:tc>
        <w:tc>
          <w:tcPr>
            <w:tcW w:type="dxa" w:w="1728"/>
          </w:tcPr>
          <w:p>
            <w:r>
              <w:t>Authorised   staff acknowledge critical result notifications and record notification   details.</w:t>
            </w:r>
          </w:p>
        </w:tc>
      </w:tr>
      <w:tr>
        <w:tc>
          <w:tcPr>
            <w:tcW w:type="dxa" w:w="1728"/>
          </w:tcPr>
          <w:p>
            <w:r>
              <w:t>FR33</w:t>
            </w:r>
          </w:p>
        </w:tc>
        <w:tc>
          <w:tcPr>
            <w:tcW w:type="dxa" w:w="1728"/>
          </w:tcPr>
          <w:p>
            <w:r>
              <w:t>Result   Review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Laboratory   Scientist/Pathologist</w:t>
            </w:r>
          </w:p>
        </w:tc>
        <w:tc>
          <w:tcPr>
            <w:tcW w:type="dxa" w:w="1728"/>
          </w:tcPr>
          <w:p>
            <w:r>
              <w:t>Laboratory   scientists or pathologists review laboratory results and supporting clinical   information before authorisation.</w:t>
            </w:r>
          </w:p>
        </w:tc>
      </w:tr>
      <w:tr>
        <w:tc>
          <w:tcPr>
            <w:tcW w:type="dxa" w:w="1728"/>
          </w:tcPr>
          <w:p>
            <w:r>
              <w:t>FR34</w:t>
            </w:r>
          </w:p>
        </w:tc>
        <w:tc>
          <w:tcPr>
            <w:tcW w:type="dxa" w:w="1728"/>
          </w:tcPr>
          <w:p>
            <w:r>
              <w:t>Result   Correction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Laboratory   Scientist/Pathologist</w:t>
            </w:r>
          </w:p>
        </w:tc>
        <w:tc>
          <w:tcPr>
            <w:tcW w:type="dxa" w:w="1728"/>
          </w:tcPr>
          <w:p>
            <w:r>
              <w:t>Authorised   users can correct laboratory results while maintaining the original record   and audit history.</w:t>
            </w:r>
          </w:p>
        </w:tc>
      </w:tr>
      <w:tr>
        <w:tc>
          <w:tcPr>
            <w:tcW w:type="dxa" w:w="1728"/>
          </w:tcPr>
          <w:p>
            <w:r>
              <w:t>FR35</w:t>
            </w:r>
          </w:p>
        </w:tc>
        <w:tc>
          <w:tcPr>
            <w:tcW w:type="dxa" w:w="1728"/>
          </w:tcPr>
          <w:p>
            <w:r>
              <w:t>Result   Authorisation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Pathologist</w:t>
            </w:r>
          </w:p>
        </w:tc>
        <w:tc>
          <w:tcPr>
            <w:tcW w:type="dxa" w:w="1728"/>
          </w:tcPr>
          <w:p>
            <w:r>
              <w:t>Pathologists   authorise and release validated laboratory results.</w:t>
            </w:r>
          </w:p>
        </w:tc>
      </w:tr>
      <w:tr>
        <w:tc>
          <w:tcPr>
            <w:tcW w:type="dxa" w:w="1728"/>
          </w:tcPr>
          <w:p>
            <w:r>
              <w:t>FR36</w:t>
            </w:r>
          </w:p>
        </w:tc>
        <w:tc>
          <w:tcPr>
            <w:tcW w:type="dxa" w:w="1728"/>
          </w:tcPr>
          <w:p>
            <w:r>
              <w:t>Clinical   Comment Management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Scientist/Pathologist</w:t>
            </w:r>
          </w:p>
        </w:tc>
        <w:tc>
          <w:tcPr>
            <w:tcW w:type="dxa" w:w="1728"/>
          </w:tcPr>
          <w:p>
            <w:r>
              <w:t>Authorised   users add or update clinical comments, recommendations, and follow-up advice   in the laboratory report.</w:t>
            </w:r>
          </w:p>
        </w:tc>
      </w:tr>
      <w:tr>
        <w:tc>
          <w:tcPr>
            <w:tcW w:type="dxa" w:w="1728"/>
          </w:tcPr>
          <w:p>
            <w:r>
              <w:t>FR37</w:t>
            </w:r>
          </w:p>
        </w:tc>
        <w:tc>
          <w:tcPr>
            <w:tcW w:type="dxa" w:w="1728"/>
          </w:tcPr>
          <w:p>
            <w:r>
              <w:t>Laboratory   Report Generation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generates laboratory reports containing patient,   specimen, test, and result information.</w:t>
            </w:r>
          </w:p>
        </w:tc>
      </w:tr>
      <w:tr>
        <w:tc>
          <w:tcPr>
            <w:tcW w:type="dxa" w:w="1728"/>
          </w:tcPr>
          <w:p>
            <w:r>
              <w:t>FR38</w:t>
            </w:r>
          </w:p>
        </w:tc>
        <w:tc>
          <w:tcPr>
            <w:tcW w:type="dxa" w:w="1728"/>
          </w:tcPr>
          <w:p>
            <w:r>
              <w:t>Preliminary   and Final Reports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Laboratory   Scientist/Pathologist</w:t>
            </w:r>
          </w:p>
        </w:tc>
        <w:tc>
          <w:tcPr>
            <w:tcW w:type="dxa" w:w="1728"/>
          </w:tcPr>
          <w:p>
            <w:r>
              <w:t>Authorised   users update report status to Preliminary, Final Corrected, Amended, or   Cancelled.</w:t>
            </w:r>
          </w:p>
        </w:tc>
      </w:tr>
      <w:tr>
        <w:tc>
          <w:tcPr>
            <w:tcW w:type="dxa" w:w="1728"/>
          </w:tcPr>
          <w:p>
            <w:r>
              <w:t>FR39</w:t>
            </w:r>
          </w:p>
        </w:tc>
        <w:tc>
          <w:tcPr>
            <w:tcW w:type="dxa" w:w="1728"/>
          </w:tcPr>
          <w:p>
            <w:r>
              <w:t>Report   Distribution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securely distributes authorised reports to clinicians, patients, and   approved healthcare systems.</w:t>
            </w:r>
          </w:p>
        </w:tc>
      </w:tr>
      <w:tr>
        <w:tc>
          <w:tcPr>
            <w:tcW w:type="dxa" w:w="1728"/>
          </w:tcPr>
          <w:p>
            <w:r>
              <w:t>FR40</w:t>
            </w:r>
          </w:p>
        </w:tc>
        <w:tc>
          <w:tcPr>
            <w:tcW w:type="dxa" w:w="1728"/>
          </w:tcPr>
          <w:p>
            <w:r>
              <w:t>Clinician   Portal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Clinician</w:t>
            </w:r>
          </w:p>
        </w:tc>
        <w:tc>
          <w:tcPr>
            <w:tcW w:type="dxa" w:w="1728"/>
          </w:tcPr>
          <w:p>
            <w:r>
              <w:t>Clinicians   can submit test requests, monitor request status, view patient results, and   download reports.</w:t>
            </w:r>
          </w:p>
        </w:tc>
      </w:tr>
      <w:tr>
        <w:tc>
          <w:tcPr>
            <w:tcW w:type="dxa" w:w="1728"/>
          </w:tcPr>
          <w:p>
            <w:r>
              <w:t>FR41</w:t>
            </w:r>
          </w:p>
        </w:tc>
        <w:tc>
          <w:tcPr>
            <w:tcW w:type="dxa" w:w="1728"/>
          </w:tcPr>
          <w:p>
            <w:r>
              <w:t>Patient   Portal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can securely access released laboratory reports, review test history, and   manage notification preferences.</w:t>
            </w:r>
          </w:p>
        </w:tc>
      </w:tr>
      <w:tr>
        <w:tc>
          <w:tcPr>
            <w:tcW w:type="dxa" w:w="1728"/>
          </w:tcPr>
          <w:p>
            <w:r>
              <w:t>FR42</w:t>
            </w:r>
          </w:p>
        </w:tc>
        <w:tc>
          <w:tcPr>
            <w:tcW w:type="dxa" w:w="1728"/>
          </w:tcPr>
          <w:p>
            <w:r>
              <w:t>Result   History and Trend Display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Patient/Clinician</w:t>
            </w:r>
          </w:p>
        </w:tc>
        <w:tc>
          <w:tcPr>
            <w:tcW w:type="dxa" w:w="1728"/>
          </w:tcPr>
          <w:p>
            <w:r>
              <w:t>Users   compare current and previous laboratory results through tables or graphical   trends.</w:t>
            </w:r>
          </w:p>
        </w:tc>
      </w:tr>
      <w:tr>
        <w:tc>
          <w:tcPr>
            <w:tcW w:type="dxa" w:w="1728"/>
          </w:tcPr>
          <w:p>
            <w:r>
              <w:t>FR43</w:t>
            </w:r>
          </w:p>
        </w:tc>
        <w:tc>
          <w:tcPr>
            <w:tcW w:type="dxa" w:w="1728"/>
          </w:tcPr>
          <w:p>
            <w:r>
              <w:t>Notification   Management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sends automated notifications for specimen status report availability,   critical results, and other important events.</w:t>
            </w:r>
          </w:p>
        </w:tc>
      </w:tr>
      <w:tr>
        <w:tc>
          <w:tcPr>
            <w:tcW w:type="dxa" w:w="1728"/>
          </w:tcPr>
          <w:p>
            <w:r>
              <w:t>FR44</w:t>
            </w:r>
          </w:p>
        </w:tc>
        <w:tc>
          <w:tcPr>
            <w:tcW w:type="dxa" w:w="1728"/>
          </w:tcPr>
          <w:p>
            <w:r>
              <w:t>Audit   Trail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records all significant user activities, including logins, record   access, modifications, and report downloads.</w:t>
            </w:r>
          </w:p>
        </w:tc>
      </w:tr>
      <w:tr>
        <w:tc>
          <w:tcPr>
            <w:tcW w:type="dxa" w:w="1728"/>
          </w:tcPr>
          <w:p>
            <w:r>
              <w:t>FR45</w:t>
            </w:r>
          </w:p>
        </w:tc>
        <w:tc>
          <w:tcPr>
            <w:tcW w:type="dxa" w:w="1728"/>
          </w:tcPr>
          <w:p>
            <w:r>
              <w:t>Laboratory   Reporting and Analytics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generate analytical reports and performance statistics using   configurable filters.</w:t>
            </w:r>
          </w:p>
        </w:tc>
      </w:tr>
      <w:tr>
        <w:tc>
          <w:tcPr>
            <w:tcW w:type="dxa" w:w="1728"/>
          </w:tcPr>
          <w:p>
            <w:r>
              <w:t>FR46</w:t>
            </w:r>
          </w:p>
        </w:tc>
        <w:tc>
          <w:tcPr>
            <w:tcW w:type="dxa" w:w="1728"/>
          </w:tcPr>
          <w:p>
            <w:r>
              <w:t>System   Configuration Management</w:t>
            </w:r>
          </w:p>
        </w:tc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Administrators   configure system settings, laboratory parameters, user roles, notification   rules, and report templates.</w:t>
            </w:r>
          </w:p>
        </w:tc>
      </w:tr>
      <w:tr>
        <w:tc>
          <w:tcPr>
            <w:tcW w:type="dxa" w:w="1728"/>
          </w:tcPr>
          <w:p>
            <w:r>
              <w:t>FR47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complies with Australian healthcare regulations, ISO 15189, HIPAA   principles, and other applicable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