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E058" w14:textId="03D90609" w:rsidR="00063DD6" w:rsidRDefault="00063DD6">
      <w:r>
        <w:t>6. USE CASE DIAGRAM – KIM</w:t>
      </w:r>
      <w:r>
        <w:br/>
      </w:r>
      <w:r w:rsidRPr="00063DD6">
        <w:drawing>
          <wp:inline distT="0" distB="0" distL="0" distR="0" wp14:anchorId="37C93042" wp14:editId="3C4D152A">
            <wp:extent cx="5006774" cy="6180356"/>
            <wp:effectExtent l="0" t="0" r="3810" b="0"/>
            <wp:docPr id="25544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5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D6"/>
    <w:rsid w:val="00063DD6"/>
    <w:rsid w:val="0058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C4D8"/>
  <w15:chartTrackingRefBased/>
  <w15:docId w15:val="{A97DC29A-70C1-406C-AEC1-2575DBE1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1</cp:revision>
  <dcterms:created xsi:type="dcterms:W3CDTF">2026-08-06T11:06:00Z</dcterms:created>
  <dcterms:modified xsi:type="dcterms:W3CDTF">2026-08-06T11:07:00Z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4c231ce0-ff83-409a-8e8e-a4cae45f8dd9</vt:lpwstr>
  </property>
</Properties>
</file>