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4F501" w14:textId="3CFAEA92" w:rsidR="00B524F8" w:rsidRPr="00B524F8" w:rsidRDefault="00B524F8" w:rsidP="00B524F8">
      <w:pPr>
        <w:rPr>
          <w:b/>
          <w:bCs/>
        </w:rPr>
      </w:pPr>
      <w:r w:rsidRPr="00B524F8">
        <w:rPr>
          <w:b/>
          <w:bCs/>
        </w:rPr>
        <w:t>2.0 Project Deliverables </w:t>
      </w:r>
      <w:r>
        <w:rPr>
          <w:b/>
          <w:bCs/>
        </w:rPr>
        <w:br/>
      </w:r>
      <w:r w:rsidRPr="00B524F8">
        <w:t>The Australian Clinical Labs Online Reporting System project will produce several analysis, design, implementation, testing, and security artefacts throughout the software development lifecycle.</w:t>
      </w:r>
    </w:p>
    <w:p w14:paraId="7E24FB98" w14:textId="535FB7F5" w:rsidR="00B524F8" w:rsidRDefault="00B524F8">
      <w:r w:rsidRPr="00B524F8">
        <w:drawing>
          <wp:inline distT="0" distB="0" distL="0" distR="0" wp14:anchorId="1A211CC8" wp14:editId="0C5F68DE">
            <wp:extent cx="6537856" cy="5989320"/>
            <wp:effectExtent l="0" t="0" r="0" b="0"/>
            <wp:docPr id="8179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23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60803" cy="601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4F8"/>
    <w:rsid w:val="003051BB"/>
    <w:rsid w:val="00B5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A032F"/>
  <w15:chartTrackingRefBased/>
  <w15:docId w15:val="{28081261-C739-4E13-B0C7-3C4FA5BB1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4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4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4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4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4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</dc:creator>
  <cp:keywords/>
  <dc:description/>
  <cp:lastModifiedBy>ANH PHAM</cp:lastModifiedBy>
  <cp:revision>1</cp:revision>
  <dcterms:created xsi:type="dcterms:W3CDTF">2026-08-03T06:29:00Z</dcterms:created>
  <dcterms:modified xsi:type="dcterms:W3CDTF">2026-08-03T06:32:00Z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8c211ec8-25c4-40ba-b9d4-8bad4087ab0a</vt:lpwstr>
  </property>
</Properties>
</file>