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Additional Functional Requirements (FR48–FR67)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Functional 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CRUD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1728"/>
          </w:tcPr>
          <w:p>
            <w:r>
              <w:t>FR48</w:t>
            </w:r>
          </w:p>
        </w:tc>
        <w:tc>
          <w:tcPr>
            <w:tcW w:type="dxa" w:w="1728"/>
          </w:tcPr>
          <w:p>
            <w:r>
              <w:t>Online   Appointment Scheduling</w:t>
            </w:r>
          </w:p>
        </w:tc>
        <w:tc>
          <w:tcPr>
            <w:tcW w:type="dxa" w:w="1728"/>
          </w:tcPr>
          <w:p>
            <w:r>
              <w:t>Create/Update/Delete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Patients   can book, reschedule, or cancel laboratory specimen collection appointments   online.</w:t>
            </w:r>
          </w:p>
        </w:tc>
      </w:tr>
      <w:tr>
        <w:tc>
          <w:tcPr>
            <w:tcW w:type="dxa" w:w="1728"/>
          </w:tcPr>
          <w:p>
            <w:r>
              <w:t>FR49</w:t>
            </w:r>
          </w:p>
        </w:tc>
        <w:tc>
          <w:tcPr>
            <w:tcW w:type="dxa" w:w="1728"/>
          </w:tcPr>
          <w:p>
            <w:r>
              <w:t>Appointment   Reminder Notifications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automatically sends appointment reminders via SMS or email before   scheduled appointments.</w:t>
            </w:r>
          </w:p>
        </w:tc>
      </w:tr>
      <w:tr>
        <w:tc>
          <w:tcPr>
            <w:tcW w:type="dxa" w:w="1728"/>
          </w:tcPr>
          <w:p>
            <w:r>
              <w:t>FR50</w:t>
            </w:r>
          </w:p>
        </w:tc>
        <w:tc>
          <w:tcPr>
            <w:tcW w:type="dxa" w:w="1728"/>
          </w:tcPr>
          <w:p>
            <w:r>
              <w:t>QR   Code Patient Check-in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Patients   use a generated QR code to check in quickly at the laboratory collection   centre.</w:t>
            </w:r>
          </w:p>
        </w:tc>
      </w:tr>
      <w:tr>
        <w:tc>
          <w:tcPr>
            <w:tcW w:type="dxa" w:w="1728"/>
          </w:tcPr>
          <w:p>
            <w:r>
              <w:t>FR51</w:t>
            </w:r>
          </w:p>
        </w:tc>
        <w:tc>
          <w:tcPr>
            <w:tcW w:type="dxa" w:w="1728"/>
          </w:tcPr>
          <w:p>
            <w:r>
              <w:t>Waiting   Queue Management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Patients   can view their current queue number and estimated waiting time in real time.</w:t>
            </w:r>
          </w:p>
        </w:tc>
      </w:tr>
      <w:tr>
        <w:tc>
          <w:tcPr>
            <w:tcW w:type="dxa" w:w="1728"/>
          </w:tcPr>
          <w:p>
            <w:r>
              <w:t>FR52</w:t>
            </w:r>
          </w:p>
        </w:tc>
        <w:tc>
          <w:tcPr>
            <w:tcW w:type="dxa" w:w="1728"/>
          </w:tcPr>
          <w:p>
            <w:r>
              <w:t>Online   Payment Processing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Patients   can securely pay laboratory service fees online using supported payment   methods.</w:t>
            </w:r>
          </w:p>
        </w:tc>
      </w:tr>
      <w:tr>
        <w:tc>
          <w:tcPr>
            <w:tcW w:type="dxa" w:w="1728"/>
          </w:tcPr>
          <w:p>
            <w:r>
              <w:t>FR53</w:t>
            </w:r>
          </w:p>
        </w:tc>
        <w:tc>
          <w:tcPr>
            <w:tcW w:type="dxa" w:w="1728"/>
          </w:tcPr>
          <w:p>
            <w:r>
              <w:t>Electronic   Invoice Generation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automatically generates electronic invoices and payment receipts after   successful transactions.</w:t>
            </w:r>
          </w:p>
        </w:tc>
      </w:tr>
      <w:tr>
        <w:tc>
          <w:tcPr>
            <w:tcW w:type="dxa" w:w="1728"/>
          </w:tcPr>
          <w:p>
            <w:r>
              <w:t>FR54</w:t>
            </w:r>
          </w:p>
        </w:tc>
        <w:tc>
          <w:tcPr>
            <w:tcW w:type="dxa" w:w="1728"/>
          </w:tcPr>
          <w:p>
            <w:r>
              <w:t>Medicare   and Private Insurance Claim Submission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Reception   Staff</w:t>
            </w:r>
          </w:p>
        </w:tc>
        <w:tc>
          <w:tcPr>
            <w:tcW w:type="dxa" w:w="1728"/>
          </w:tcPr>
          <w:p>
            <w:r>
              <w:t>Reception   staff submit Medicare or private health insurance claims for eligible   laboratory services.</w:t>
            </w:r>
          </w:p>
        </w:tc>
      </w:tr>
      <w:tr>
        <w:tc>
          <w:tcPr>
            <w:tcW w:type="dxa" w:w="1728"/>
          </w:tcPr>
          <w:p>
            <w:r>
              <w:t>FR55</w:t>
            </w:r>
          </w:p>
        </w:tc>
        <w:tc>
          <w:tcPr>
            <w:tcW w:type="dxa" w:w="1728"/>
          </w:tcPr>
          <w:p>
            <w:r>
              <w:t>Test   Package Recommendation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Patient/Clinician</w:t>
            </w:r>
          </w:p>
        </w:tc>
        <w:tc>
          <w:tcPr>
            <w:tcW w:type="dxa" w:w="1728"/>
          </w:tcPr>
          <w:p>
            <w:r>
              <w:t>The   system recommends appropriate laboratory test packages based on patient   information and clinical requirements.</w:t>
            </w:r>
          </w:p>
        </w:tc>
      </w:tr>
      <w:tr>
        <w:tc>
          <w:tcPr>
            <w:tcW w:type="dxa" w:w="1728"/>
          </w:tcPr>
          <w:p>
            <w:r>
              <w:t>FR56</w:t>
            </w:r>
          </w:p>
        </w:tc>
        <w:tc>
          <w:tcPr>
            <w:tcW w:type="dxa" w:w="1728"/>
          </w:tcPr>
          <w:p>
            <w:r>
              <w:t>Digital   Consent Management</w:t>
            </w:r>
          </w:p>
        </w:tc>
        <w:tc>
          <w:tcPr>
            <w:tcW w:type="dxa" w:w="1728"/>
          </w:tcPr>
          <w:p>
            <w:r>
              <w:t>Create/Update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Patients   provide and manage electronic consent before specimen collection or   laboratory testing.</w:t>
            </w:r>
          </w:p>
        </w:tc>
      </w:tr>
      <w:tr>
        <w:tc>
          <w:tcPr>
            <w:tcW w:type="dxa" w:w="1728"/>
          </w:tcPr>
          <w:p>
            <w:r>
              <w:t>FR57</w:t>
            </w:r>
          </w:p>
        </w:tc>
        <w:tc>
          <w:tcPr>
            <w:tcW w:type="dxa" w:w="1728"/>
          </w:tcPr>
          <w:p>
            <w:r>
              <w:t>Interpreter   Service Request</w:t>
            </w:r>
          </w:p>
        </w:tc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Patients   can request interpreter services when booking or attending laboratory   appointments.</w:t>
            </w:r>
          </w:p>
        </w:tc>
      </w:tr>
      <w:tr>
        <w:tc>
          <w:tcPr>
            <w:tcW w:type="dxa" w:w="1728"/>
          </w:tcPr>
          <w:p>
            <w:r>
              <w:t>FR58</w:t>
            </w:r>
          </w:p>
        </w:tc>
        <w:tc>
          <w:tcPr>
            <w:tcW w:type="dxa" w:w="1728"/>
          </w:tcPr>
          <w:p>
            <w:r>
              <w:t>Laboratory   Equipment Maintenance Scheduling</w:t>
            </w:r>
          </w:p>
        </w:tc>
        <w:tc>
          <w:tcPr>
            <w:tcW w:type="dxa" w:w="1728"/>
          </w:tcPr>
          <w:p>
            <w:r>
              <w:t>Create/Update</w:t>
            </w:r>
          </w:p>
        </w:tc>
        <w:tc>
          <w:tcPr>
            <w:tcW w:type="dxa" w:w="1728"/>
          </w:tcPr>
          <w:p>
            <w:r>
              <w:t>Laboratory   Manager</w:t>
            </w:r>
          </w:p>
        </w:tc>
        <w:tc>
          <w:tcPr>
            <w:tcW w:type="dxa" w:w="1728"/>
          </w:tcPr>
          <w:p>
            <w:r>
              <w:t>Laboratory   managers schedule and monitor routine maintenance for laboratory equipment.</w:t>
            </w:r>
          </w:p>
        </w:tc>
      </w:tr>
      <w:tr>
        <w:tc>
          <w:tcPr>
            <w:tcW w:type="dxa" w:w="1728"/>
          </w:tcPr>
          <w:p>
            <w:r>
              <w:t>FR59</w:t>
            </w:r>
          </w:p>
        </w:tc>
        <w:tc>
          <w:tcPr>
            <w:tcW w:type="dxa" w:w="1728"/>
          </w:tcPr>
          <w:p>
            <w:r>
              <w:t>Laboratory   Equipment Calibration Records</w:t>
            </w:r>
          </w:p>
        </w:tc>
        <w:tc>
          <w:tcPr>
            <w:tcW w:type="dxa" w:w="1728"/>
          </w:tcPr>
          <w:p>
            <w:r>
              <w:t>Create/Update</w:t>
            </w:r>
          </w:p>
        </w:tc>
        <w:tc>
          <w:tcPr>
            <w:tcW w:type="dxa" w:w="1728"/>
          </w:tcPr>
          <w:p>
            <w:r>
              <w:t>Laboratory   Technician</w:t>
            </w:r>
          </w:p>
        </w:tc>
        <w:tc>
          <w:tcPr>
            <w:tcW w:type="dxa" w:w="1728"/>
          </w:tcPr>
          <w:p>
            <w:r>
              <w:t>Laboratory   technicians record and maintain equipment calibration history and status.</w:t>
            </w:r>
          </w:p>
        </w:tc>
      </w:tr>
      <w:tr>
        <w:tc>
          <w:tcPr>
            <w:tcW w:type="dxa" w:w="1728"/>
          </w:tcPr>
          <w:p>
            <w:r>
              <w:t>FR60</w:t>
            </w:r>
          </w:p>
        </w:tc>
        <w:tc>
          <w:tcPr>
            <w:tcW w:type="dxa" w:w="1728"/>
          </w:tcPr>
          <w:p>
            <w:r>
              <w:t>Inventory   Management</w:t>
            </w:r>
          </w:p>
        </w:tc>
        <w:tc>
          <w:tcPr>
            <w:tcW w:type="dxa" w:w="1728"/>
          </w:tcPr>
          <w:p>
            <w:r>
              <w:t>Create/Update/Delete</w:t>
            </w:r>
          </w:p>
        </w:tc>
        <w:tc>
          <w:tcPr>
            <w:tcW w:type="dxa" w:w="1728"/>
          </w:tcPr>
          <w:p>
            <w:r>
              <w:t>Laboratory   Manager</w:t>
            </w:r>
          </w:p>
        </w:tc>
        <w:tc>
          <w:tcPr>
            <w:tcW w:type="dxa" w:w="1728"/>
          </w:tcPr>
          <w:p>
            <w:r>
              <w:t>Laboratory   managers manage laboratory inventory, including reagents, specimen   containers, and consumables.</w:t>
            </w:r>
          </w:p>
        </w:tc>
      </w:tr>
      <w:tr>
        <w:tc>
          <w:tcPr>
            <w:tcW w:type="dxa" w:w="1728"/>
          </w:tcPr>
          <w:p>
            <w:r>
              <w:t>FR61</w:t>
            </w:r>
          </w:p>
        </w:tc>
        <w:tc>
          <w:tcPr>
            <w:tcW w:type="dxa" w:w="1728"/>
          </w:tcPr>
          <w:p>
            <w:r>
              <w:t>Reagent   Expiry Monitoring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monitors reagent expiry dates and alerts laboratory staff before   reagents expire.</w:t>
            </w:r>
          </w:p>
        </w:tc>
      </w:tr>
      <w:tr>
        <w:tc>
          <w:tcPr>
            <w:tcW w:type="dxa" w:w="1728"/>
          </w:tcPr>
          <w:p>
            <w:r>
              <w:t>FR62</w:t>
            </w:r>
          </w:p>
        </w:tc>
        <w:tc>
          <w:tcPr>
            <w:tcW w:type="dxa" w:w="1728"/>
          </w:tcPr>
          <w:p>
            <w:r>
              <w:t>Staff   Shift Scheduling</w:t>
            </w:r>
          </w:p>
        </w:tc>
        <w:tc>
          <w:tcPr>
            <w:tcW w:type="dxa" w:w="1728"/>
          </w:tcPr>
          <w:p>
            <w:r>
              <w:t>Create/Update</w:t>
            </w:r>
          </w:p>
        </w:tc>
        <w:tc>
          <w:tcPr>
            <w:tcW w:type="dxa" w:w="1728"/>
          </w:tcPr>
          <w:p>
            <w:r>
              <w:t>Laboratory   Manager</w:t>
            </w:r>
          </w:p>
        </w:tc>
        <w:tc>
          <w:tcPr>
            <w:tcW w:type="dxa" w:w="1728"/>
          </w:tcPr>
          <w:p>
            <w:r>
              <w:t>Laboratory   managers create and update staff work schedules and shift assignments.</w:t>
            </w:r>
          </w:p>
        </w:tc>
      </w:tr>
      <w:tr>
        <w:tc>
          <w:tcPr>
            <w:tcW w:type="dxa" w:w="1728"/>
          </w:tcPr>
          <w:p>
            <w:r>
              <w:t>FR63</w:t>
            </w:r>
          </w:p>
        </w:tc>
        <w:tc>
          <w:tcPr>
            <w:tcW w:type="dxa" w:w="1728"/>
          </w:tcPr>
          <w:p>
            <w:r>
              <w:t>Staff   Competency Records</w:t>
            </w:r>
          </w:p>
        </w:tc>
        <w:tc>
          <w:tcPr>
            <w:tcW w:type="dxa" w:w="1728"/>
          </w:tcPr>
          <w:p>
            <w:r>
              <w:t>Create/Update</w:t>
            </w:r>
          </w:p>
        </w:tc>
        <w:tc>
          <w:tcPr>
            <w:tcW w:type="dxa" w:w="1728"/>
          </w:tcPr>
          <w:p>
            <w:r>
              <w:t>Laboratory   Manager</w:t>
            </w:r>
          </w:p>
        </w:tc>
        <w:tc>
          <w:tcPr>
            <w:tcW w:type="dxa" w:w="1728"/>
          </w:tcPr>
          <w:p>
            <w:r>
              <w:t>Laboratory   managers maintain staff competency, certification, and training records.</w:t>
            </w:r>
          </w:p>
        </w:tc>
      </w:tr>
      <w:tr>
        <w:tc>
          <w:tcPr>
            <w:tcW w:type="dxa" w:w="1728"/>
          </w:tcPr>
          <w:p>
            <w:r>
              <w:t>FR64</w:t>
            </w:r>
          </w:p>
        </w:tc>
        <w:tc>
          <w:tcPr>
            <w:tcW w:type="dxa" w:w="1728"/>
          </w:tcPr>
          <w:p>
            <w:r>
              <w:t>Patient   Feedback Management</w:t>
            </w:r>
          </w:p>
        </w:tc>
        <w:tc>
          <w:tcPr>
            <w:tcW w:type="dxa" w:w="1728"/>
          </w:tcPr>
          <w:p>
            <w:r>
              <w:t>Create/Read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Patients   submit feedback and satisfaction surveys regarding laboratory services, and   authorised staff can review them.</w:t>
            </w:r>
          </w:p>
        </w:tc>
      </w:tr>
      <w:tr>
        <w:tc>
          <w:tcPr>
            <w:tcW w:type="dxa" w:w="1728"/>
          </w:tcPr>
          <w:p>
            <w:r>
              <w:t>FR65</w:t>
            </w:r>
          </w:p>
        </w:tc>
        <w:tc>
          <w:tcPr>
            <w:tcW w:type="dxa" w:w="1728"/>
          </w:tcPr>
          <w:p>
            <w:r>
              <w:t>Internal   Messaging System</w:t>
            </w:r>
          </w:p>
        </w:tc>
        <w:tc>
          <w:tcPr>
            <w:tcW w:type="dxa" w:w="1728"/>
          </w:tcPr>
          <w:p>
            <w:r>
              <w:t>Create/Read</w:t>
            </w:r>
          </w:p>
        </w:tc>
        <w:tc>
          <w:tcPr>
            <w:tcW w:type="dxa" w:w="1728"/>
          </w:tcPr>
          <w:p>
            <w:r>
              <w:t>Clinician/Laboratory   Staff</w:t>
            </w:r>
          </w:p>
        </w:tc>
        <w:tc>
          <w:tcPr>
            <w:tcW w:type="dxa" w:w="1728"/>
          </w:tcPr>
          <w:p>
            <w:r>
              <w:t>Clinicians   and laboratory staff exchange secure messages regarding test requests,   results, and patient care.</w:t>
            </w:r>
          </w:p>
        </w:tc>
      </w:tr>
      <w:tr>
        <w:tc>
          <w:tcPr>
            <w:tcW w:type="dxa" w:w="1728"/>
          </w:tcPr>
          <w:p>
            <w:r>
              <w:t>FR66</w:t>
            </w:r>
          </w:p>
        </w:tc>
        <w:tc>
          <w:tcPr>
            <w:tcW w:type="dxa" w:w="1728"/>
          </w:tcPr>
          <w:p>
            <w:r>
              <w:t>Disaster   Recovery Data Restoration</w:t>
            </w:r>
          </w:p>
        </w:tc>
        <w:tc>
          <w:tcPr>
            <w:tcW w:type="dxa" w:w="1728"/>
          </w:tcPr>
          <w:p>
            <w:r>
              <w:t>Read/Update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Administrators   restore system data from backup following system failures or data loss   incidents.</w:t>
            </w:r>
          </w:p>
        </w:tc>
      </w:tr>
      <w:tr>
        <w:tc>
          <w:tcPr>
            <w:tcW w:type="dxa" w:w="1728"/>
          </w:tcPr>
          <w:p>
            <w:r>
              <w:t>FR67</w:t>
            </w:r>
          </w:p>
        </w:tc>
        <w:tc>
          <w:tcPr>
            <w:tcW w:type="dxa" w:w="1728"/>
          </w:tcPr>
          <w:p>
            <w:r>
              <w:t>Business   Continuity Mode</w:t>
            </w:r>
          </w:p>
        </w:tc>
        <w:tc>
          <w:tcPr>
            <w:tcW w:type="dxa" w:w="1728"/>
          </w:tcPr>
          <w:p>
            <w:r>
              <w:t>Read/Update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The   system continues essential operations during network or system failures and   synchronises data when services are restored.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