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4A4D" w:rsidRDefault="00744FF9" w:rsidP="007C1F1F">
      <w:pPr>
        <w:pStyle w:val="Heading2"/>
      </w:pPr>
      <w:r w:rsidRPr="00744FF9">
        <w:t>1.</w:t>
      </w:r>
      <w:r w:rsidR="00030D21">
        <w:t>3</w:t>
      </w:r>
      <w:r w:rsidR="00DF3800">
        <w:t xml:space="preserve"> </w:t>
      </w:r>
      <w:r w:rsidR="001D61E3">
        <w:t>Objective</w:t>
      </w:r>
      <w:r w:rsidRPr="00744FF9">
        <w:t xml:space="preserve"> of the Project</w:t>
      </w:r>
    </w:p>
    <w:p w:rsidR="00193F18" w:rsidRDefault="00193F18" w:rsidP="00744FF9">
      <w:r w:rsidRPr="00193F18">
        <w:t xml:space="preserve">ACLORS stands for Australian Clinical Labs Online Reporting System. ACLORS seeks to digitize all steps in diagnostic pathology workflow and replace manual paper processes with automated end-to-end enterprise platform with zero manual, paper-based processes. KAPAS Solutions Laboratory Platform digitizes the entire laboratory lifecycle starting with patient check-in and e-referral ingest through to specimen collection, lab </w:t>
      </w:r>
      <w:proofErr w:type="spellStart"/>
      <w:r w:rsidRPr="00193F18">
        <w:t>worklist</w:t>
      </w:r>
      <w:proofErr w:type="spellEnd"/>
      <w:r w:rsidRPr="00193F18">
        <w:t xml:space="preserve"> execution, result verification and report distribution. </w:t>
      </w:r>
    </w:p>
    <w:p w:rsidR="00193F18" w:rsidRDefault="00193F18" w:rsidP="00744FF9">
      <w:r w:rsidRPr="00193F18">
        <w:t>Specifically, the software engineering project focuses on five key areas of functionality:</w:t>
      </w:r>
    </w:p>
    <w:p w:rsidR="00744FF9" w:rsidRPr="00744FF9" w:rsidRDefault="00744FF9" w:rsidP="007C1F1F">
      <w:pPr>
        <w:pStyle w:val="Heading3"/>
        <w:rPr>
          <w:lang w:val="en-AU"/>
        </w:rPr>
      </w:pPr>
      <w:r w:rsidRPr="00744FF9">
        <w:rPr>
          <w:lang w:val="en-AU"/>
        </w:rPr>
        <w:t>1. Digitalisation and Automation of Clinical Testing Workflows</w:t>
      </w:r>
    </w:p>
    <w:p w:rsidR="007C1F1F" w:rsidRDefault="00193F18" w:rsidP="00744FF9">
      <w:r>
        <w:t>The</w:t>
      </w:r>
      <w:r w:rsidR="00E305F1">
        <w:t xml:space="preserve"> </w:t>
      </w:r>
      <w:r w:rsidRPr="00193F18">
        <w:t xml:space="preserve">platform removes inefficiencies from manual diagnostic workflows by eliminating redundant data entry, reducing transcription errors and avoiding unnecessary delays in the testing process. We have created standardized digital workflows for common diagnostic tests such as CBC, Blood Sugar, KFT, </w:t>
      </w:r>
      <w:proofErr w:type="gramStart"/>
      <w:r w:rsidRPr="00193F18">
        <w:t>LFT</w:t>
      </w:r>
      <w:proofErr w:type="gramEnd"/>
      <w:r w:rsidRPr="00193F18">
        <w:t xml:space="preserve"> etc. allowing all tests to be processed quickly, managed correctly and repeated easily across all laboratory departments</w:t>
      </w:r>
      <w:r w:rsidR="007C1F1F" w:rsidRPr="007C1F1F">
        <w:t xml:space="preserve">. </w:t>
      </w:r>
    </w:p>
    <w:p w:rsidR="00744FF9" w:rsidRPr="00744FF9" w:rsidRDefault="00744FF9" w:rsidP="007C1F1F">
      <w:pPr>
        <w:pStyle w:val="Heading3"/>
        <w:rPr>
          <w:lang w:val="en-AU"/>
        </w:rPr>
      </w:pPr>
      <w:r w:rsidRPr="00744FF9">
        <w:rPr>
          <w:lang w:val="en-AU"/>
        </w:rPr>
        <w:t>2. End-to-End Specimen Lifecycle &amp; Test Requirement Management</w:t>
      </w:r>
    </w:p>
    <w:p w:rsidR="007C1F1F" w:rsidRDefault="00193F18" w:rsidP="00744FF9">
      <w:r w:rsidRPr="00193F18">
        <w:t>Gain complete visibility and control of all samples entering your laboratory. Track each specimen from collection through to disposal. Upon specimen collection, the platform will automatically generate barcodes for each specimen and enforce strict accessioning rules to allow you to track each specimen throughout its lifecycle (Requested / Collected / Received / In-Process / Stored). Each specimen links directly to integrated test catalogues, ensuring the collection requirements, reference ranges and all processing parameters are applied to the specimen throughout each stage of testing, guaranteeing clinical procedures are adhered to consistently on every specimen</w:t>
      </w:r>
      <w:r w:rsidR="007C1F1F" w:rsidRPr="007C1F1F">
        <w:t>.</w:t>
      </w:r>
    </w:p>
    <w:p w:rsidR="00744FF9" w:rsidRPr="00744FF9" w:rsidRDefault="00744FF9" w:rsidP="007C1F1F">
      <w:pPr>
        <w:pStyle w:val="Heading3"/>
        <w:rPr>
          <w:lang w:val="en-AU"/>
        </w:rPr>
      </w:pPr>
      <w:r w:rsidRPr="00744FF9">
        <w:rPr>
          <w:lang w:val="en-AU"/>
        </w:rPr>
        <w:t>3. Management, Validation, and Publication of Diagnostic Results</w:t>
      </w:r>
    </w:p>
    <w:p w:rsidR="007C1F1F" w:rsidRDefault="007C1F1F" w:rsidP="00744FF9">
      <w:r w:rsidRPr="007C1F1F">
        <w:t xml:space="preserve">The </w:t>
      </w:r>
      <w:r w:rsidR="00E305F1">
        <w:t xml:space="preserve">Automated </w:t>
      </w:r>
      <w:r w:rsidR="00193F18" w:rsidRPr="00193F18">
        <w:t xml:space="preserve">verification of test results. The platform enforces </w:t>
      </w:r>
      <w:r w:rsidR="00E305F1" w:rsidRPr="00193F18">
        <w:t>multistage results</w:t>
      </w:r>
      <w:r w:rsidR="00193F18" w:rsidRPr="00193F18">
        <w:t xml:space="preserve"> processing workflow designed to ensure diagnostic accuracy. As values are read by laboratory analyzers, they are automatically pushed to the system where they are automatically validated by our engines against age / sex referenced ranges. The system will automatically flag any values that fall outside of these ranges and trigger high-priority alerts for clinical values that require intervention. All values requiring review must be manually verified and approved by a pathologist prior to being published.</w:t>
      </w:r>
    </w:p>
    <w:p w:rsidR="00744FF9" w:rsidRPr="00744FF9" w:rsidRDefault="00744FF9" w:rsidP="007C1F1F">
      <w:pPr>
        <w:pStyle w:val="Heading3"/>
        <w:rPr>
          <w:lang w:val="en-AU"/>
        </w:rPr>
      </w:pPr>
      <w:r w:rsidRPr="00744FF9">
        <w:rPr>
          <w:lang w:val="en-AU"/>
        </w:rPr>
        <w:t xml:space="preserve">4. </w:t>
      </w:r>
      <w:r w:rsidR="007C1F1F" w:rsidRPr="007C1F1F">
        <w:t>User interfaces for stakeholder interaction sensitive to roles</w:t>
      </w:r>
    </w:p>
    <w:p w:rsidR="007C1F1F" w:rsidRPr="007C1F1F" w:rsidRDefault="00193F18" w:rsidP="00B056B7">
      <w:pPr>
        <w:rPr>
          <w:b/>
          <w:bCs/>
          <w:lang w:val="en-AU"/>
        </w:rPr>
      </w:pPr>
      <w:r w:rsidRPr="00193F18">
        <w:t xml:space="preserve">Provides role-specific interfaces for every type of stakeholder that interacts with the laboratory system: </w:t>
      </w:r>
      <w:r w:rsidRPr="00193F18">
        <w:br/>
        <w:t xml:space="preserve">• Patients will be able to register online and book appointments, submit payments, view historical data trends and download approved lab reports through our patient portal. </w:t>
      </w:r>
      <w:r w:rsidRPr="00193F18">
        <w:br/>
        <w:t>• Doctors and Referring Clinicians will have access to a clinician’s portal which can be used to submit e-</w:t>
      </w:r>
      <w:r w:rsidR="00E305F1" w:rsidRPr="00193F18">
        <w:t>referrals;</w:t>
      </w:r>
      <w:r w:rsidRPr="00193F18">
        <w:t xml:space="preserve"> monitor sample statuses live as they are processed, review results and respond to critical alerts. </w:t>
      </w:r>
      <w:r w:rsidRPr="00193F18">
        <w:br/>
      </w:r>
      <w:r w:rsidRPr="00193F18">
        <w:lastRenderedPageBreak/>
        <w:t xml:space="preserve">• Laboratory staff will interface directly with application </w:t>
      </w:r>
      <w:proofErr w:type="spellStart"/>
      <w:r w:rsidRPr="00193F18">
        <w:t>worklist</w:t>
      </w:r>
      <w:proofErr w:type="spellEnd"/>
      <w:r w:rsidRPr="00193F18">
        <w:t xml:space="preserve"> engines to execute batches, review and verify automated analyzer readings, enter clinical interpretations and release reports for publication.</w:t>
      </w:r>
    </w:p>
    <w:p w:rsidR="00744FF9" w:rsidRPr="007C1F1F" w:rsidRDefault="00744FF9" w:rsidP="007C1F1F">
      <w:pPr>
        <w:pStyle w:val="Heading3"/>
        <w:rPr>
          <w:lang w:val="en-AU"/>
        </w:rPr>
      </w:pPr>
      <w:r w:rsidRPr="007C1F1F">
        <w:rPr>
          <w:lang w:val="en-AU"/>
        </w:rPr>
        <w:t>5. Database Governance, Authorization, and Immutable Audit Logging</w:t>
      </w:r>
    </w:p>
    <w:p w:rsidR="00193F18" w:rsidRPr="00744FF9" w:rsidRDefault="00193F18" w:rsidP="00744FF9">
      <w:r w:rsidRPr="00193F18">
        <w:t xml:space="preserve">Ensure your data is safe and secure. KAPAS Solutions takes pride in ensuring that all client data, especially Personal Health Information (PHI) meets the highest standards of </w:t>
      </w:r>
      <w:r w:rsidR="00E305F1">
        <w:t>cyber-</w:t>
      </w:r>
      <w:r w:rsidR="00E305F1" w:rsidRPr="00193F18">
        <w:t>security</w:t>
      </w:r>
      <w:r w:rsidRPr="00193F18">
        <w:t xml:space="preserve"> across the healthcare industry. We adhere to all cyber</w:t>
      </w:r>
      <w:r w:rsidR="00E305F1">
        <w:t>-</w:t>
      </w:r>
      <w:r w:rsidRPr="00193F18">
        <w:t>security standards including HIPPA</w:t>
      </w:r>
      <w:r w:rsidR="00E305F1">
        <w:t xml:space="preserve"> (Health Insurance Portability and Accountability Act)</w:t>
      </w:r>
      <w:r w:rsidRPr="00193F18">
        <w:t xml:space="preserve">, ISO 15189, and the Australian Privacy Principles. Access to the platform is locked down using RBAC (Role Based Access Controls) and users are required to successfully authenticate themselves through our MFA (Multi-Factor Authentication) service before being granted access. We also maintain a real-time, immutable audit log of all user interactions with the database; from login attempts to record views, changes made to values and downloading of records. </w:t>
      </w:r>
      <w:r w:rsidRPr="00193F18">
        <w:br/>
      </w:r>
      <w:r w:rsidRPr="00193F18">
        <w:br/>
      </w:r>
      <w:r w:rsidRPr="00193F18">
        <w:br/>
      </w:r>
    </w:p>
    <w:sectPr w:rsidR="00193F18" w:rsidRPr="00744FF9" w:rsidSect="0073747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FB82E4B"/>
    <w:multiLevelType w:val="multilevel"/>
    <w:tmpl w:val="496C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FE269C7"/>
    <w:multiLevelType w:val="multilevel"/>
    <w:tmpl w:val="7E06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44FF9"/>
    <w:rsid w:val="00030D21"/>
    <w:rsid w:val="00191D87"/>
    <w:rsid w:val="00193F18"/>
    <w:rsid w:val="001D61E3"/>
    <w:rsid w:val="002C0DCB"/>
    <w:rsid w:val="00701767"/>
    <w:rsid w:val="0073747C"/>
    <w:rsid w:val="00744FF9"/>
    <w:rsid w:val="007C1F1F"/>
    <w:rsid w:val="00B056B7"/>
    <w:rsid w:val="00CC4A4D"/>
    <w:rsid w:val="00D6696A"/>
    <w:rsid w:val="00DF3800"/>
    <w:rsid w:val="00E305F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747C"/>
  </w:style>
  <w:style w:type="paragraph" w:styleId="Heading1">
    <w:name w:val="heading 1"/>
    <w:basedOn w:val="Normal"/>
    <w:next w:val="Normal"/>
    <w:link w:val="Heading1Char"/>
    <w:uiPriority w:val="9"/>
    <w:qFormat/>
    <w:rsid w:val="00744FF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744FF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744FF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44FF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44FF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44F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F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F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F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FF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744FF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744FF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44FF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44FF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44F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F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F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FF9"/>
    <w:rPr>
      <w:rFonts w:eastAsiaTheme="majorEastAsia" w:cstheme="majorBidi"/>
      <w:color w:val="272727" w:themeColor="text1" w:themeTint="D8"/>
    </w:rPr>
  </w:style>
  <w:style w:type="paragraph" w:styleId="Title">
    <w:name w:val="Title"/>
    <w:basedOn w:val="Normal"/>
    <w:next w:val="Normal"/>
    <w:link w:val="TitleChar"/>
    <w:uiPriority w:val="10"/>
    <w:qFormat/>
    <w:rsid w:val="00744F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F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FF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F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FF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44FF9"/>
    <w:rPr>
      <w:i/>
      <w:iCs/>
      <w:color w:val="404040" w:themeColor="text1" w:themeTint="BF"/>
    </w:rPr>
  </w:style>
  <w:style w:type="paragraph" w:styleId="ListParagraph">
    <w:name w:val="List Paragraph"/>
    <w:basedOn w:val="Normal"/>
    <w:uiPriority w:val="34"/>
    <w:qFormat/>
    <w:rsid w:val="00744FF9"/>
    <w:pPr>
      <w:ind w:left="720"/>
      <w:contextualSpacing/>
    </w:pPr>
  </w:style>
  <w:style w:type="character" w:styleId="IntenseEmphasis">
    <w:name w:val="Intense Emphasis"/>
    <w:basedOn w:val="DefaultParagraphFont"/>
    <w:uiPriority w:val="21"/>
    <w:qFormat/>
    <w:rsid w:val="00744FF9"/>
    <w:rPr>
      <w:i/>
      <w:iCs/>
      <w:color w:val="365F91" w:themeColor="accent1" w:themeShade="BF"/>
    </w:rPr>
  </w:style>
  <w:style w:type="paragraph" w:styleId="IntenseQuote">
    <w:name w:val="Intense Quote"/>
    <w:basedOn w:val="Normal"/>
    <w:next w:val="Normal"/>
    <w:link w:val="IntenseQuoteChar"/>
    <w:uiPriority w:val="30"/>
    <w:qFormat/>
    <w:rsid w:val="00744FF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44FF9"/>
    <w:rPr>
      <w:i/>
      <w:iCs/>
      <w:color w:val="365F91" w:themeColor="accent1" w:themeShade="BF"/>
    </w:rPr>
  </w:style>
  <w:style w:type="character" w:styleId="IntenseReference">
    <w:name w:val="Intense Reference"/>
    <w:basedOn w:val="DefaultParagraphFont"/>
    <w:uiPriority w:val="32"/>
    <w:qFormat/>
    <w:rsid w:val="00744FF9"/>
    <w:rPr>
      <w:b/>
      <w:bCs/>
      <w:smallCaps/>
      <w:color w:val="365F91"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389</TotalTime>
  <Pages>2</Pages>
  <Words>616</Words>
  <Characters>3517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Anmol Singh Bhela [Student]</dc:creator>
  <cp:keywords/>
  <dc:description/>
  <cp:lastModifiedBy>Pratham -</cp:lastModifiedBy>
  <cp:revision>7</cp:revision>
  <dcterms:created xsi:type="dcterms:W3CDTF">2026-07-29T05:36:00Z</dcterms:created>
  <dcterms:modified xsi:type="dcterms:W3CDTF">2026-08-13T01:02:00Z</dcterms:modified>
</cp:coreProperties>
</file>