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A3125E" w:rsidP="668275B5" w:rsidRDefault="00A3125E" w14:paraId="7233F994" w14:textId="77777777">
      <w:pPr>
        <w:pStyle w:val="Normal"/>
      </w:pPr>
      <w:r w:rsidR="15B0FC6B">
        <w:rPr/>
        <w:t>13. System Development Methodology</w:t>
      </w:r>
    </w:p>
    <w:p w:rsidR="00A3125E" w:rsidP="668275B5" w:rsidRDefault="006C7FC0" w14:paraId="1FF7AD71" w14:textId="66D3613D">
      <w:pPr>
        <w:pStyle w:val="Normal"/>
      </w:pPr>
    </w:p>
    <w:p w:rsidR="00A3125E" w:rsidP="668275B5" w:rsidRDefault="006C7FC0" w14:paraId="67535B6A" w14:textId="20DFF823">
      <w:pPr>
        <w:pStyle w:val="Normal"/>
        <w:rPr>
          <w:b w:val="1"/>
          <w:bCs w:val="1"/>
        </w:rPr>
      </w:pPr>
      <w:r w:rsidRPr="668275B5" w:rsidR="37A8A368">
        <w:rPr>
          <w:b w:val="1"/>
          <w:bCs w:val="1"/>
        </w:rPr>
        <w:t>1.</w:t>
      </w:r>
      <w:r w:rsidRPr="668275B5" w:rsidR="15B0FC6B">
        <w:rPr>
          <w:b w:val="1"/>
          <w:bCs w:val="1"/>
        </w:rPr>
        <w:t>Overview</w:t>
      </w:r>
    </w:p>
    <w:p w:rsidR="00A3125E" w:rsidP="668275B5" w:rsidRDefault="006C7FC0" w14:paraId="7E8A6A03" w14:textId="572D38DE">
      <w:pPr>
        <w:pStyle w:val="Normal"/>
      </w:pPr>
      <w:r w:rsidR="51A6730C">
        <w:rPr/>
        <w:t xml:space="preserve">This section explains the methodology Vertex IT Solution will take to developing the BINCOL Online Commercial Waste Collection System (CWCS); these include the methodologies that have been considered, methodology selection, and the methodology consideration in relation to the </w:t>
      </w:r>
      <w:r w:rsidR="51A6730C">
        <w:rPr/>
        <w:t>5-member</w:t>
      </w:r>
      <w:r w:rsidR="51A6730C">
        <w:rPr/>
        <w:t xml:space="preserve"> development team and the </w:t>
      </w:r>
      <w:r w:rsidR="51A6730C">
        <w:rPr/>
        <w:t>12-week</w:t>
      </w:r>
      <w:r w:rsidR="51A6730C">
        <w:rPr/>
        <w:t xml:space="preserve"> timeline outlined</w:t>
      </w:r>
      <w:r w:rsidR="15B0FC6B">
        <w:rPr/>
        <w:t>.</w:t>
      </w:r>
    </w:p>
    <w:p w:rsidR="668275B5" w:rsidP="668275B5" w:rsidRDefault="668275B5" w14:paraId="5E0A6092" w14:textId="4C54A4E9">
      <w:pPr>
        <w:pStyle w:val="Normal"/>
        <w:rPr>
          <w:b w:val="0"/>
          <w:bCs w:val="0"/>
        </w:rPr>
      </w:pPr>
    </w:p>
    <w:p w:rsidR="00A3125E" w:rsidP="668275B5" w:rsidRDefault="006C7FC0" w14:paraId="4AFE637F" w14:textId="296ABDB4">
      <w:pPr>
        <w:pStyle w:val="Normal"/>
        <w:rPr>
          <w:b w:val="1"/>
          <w:bCs w:val="1"/>
        </w:rPr>
      </w:pPr>
      <w:r w:rsidRPr="668275B5" w:rsidR="15B0FC6B">
        <w:rPr>
          <w:b w:val="1"/>
          <w:bCs w:val="1"/>
        </w:rPr>
        <w:t>2</w:t>
      </w:r>
      <w:r w:rsidRPr="668275B5" w:rsidR="27D25A5E">
        <w:rPr>
          <w:b w:val="1"/>
          <w:bCs w:val="1"/>
        </w:rPr>
        <w:t>.</w:t>
      </w:r>
      <w:r w:rsidRPr="668275B5" w:rsidR="15B0FC6B">
        <w:rPr>
          <w:b w:val="1"/>
          <w:bCs w:val="1"/>
        </w:rPr>
        <w:t xml:space="preserve"> Comparison and Selection of Methodology</w:t>
      </w:r>
    </w:p>
    <w:p w:rsidR="00A3125E" w:rsidP="668275B5" w:rsidRDefault="006C7FC0" w14:paraId="0E91B4DB" w14:textId="44C8CFC6">
      <w:pPr>
        <w:pStyle w:val="Normal"/>
      </w:pPr>
      <w:r w:rsidR="51A6730C">
        <w:rPr/>
        <w:t xml:space="preserve">Four methodologies were evaluated </w:t>
      </w:r>
      <w:r w:rsidR="51A6730C">
        <w:rPr/>
        <w:t>in regard to</w:t>
      </w:r>
      <w:r w:rsidR="51A6730C">
        <w:rPr/>
        <w:t xml:space="preserve"> the characteristics of this project: 49 functional requirements and 15 non-functional ones, fixed twelve weeks deadline, requirement likely to change (Risk R1), dependence on third party map, payment and email services and small multi-role team</w:t>
      </w:r>
      <w:r w:rsidR="15B0FC6B">
        <w:rPr/>
        <w:t>.</w:t>
      </w:r>
    </w:p>
    <w:tbl>
      <w:tblPr>
        <w:tblStyle w:val="TableGrid"/>
        <w:tblW w:w="9344" w:type="dxa"/>
        <w:tblCellMar>
          <w:top w:w="15" w:type="dxa"/>
          <w:left w:w="15" w:type="dxa"/>
          <w:bottom w:w="15" w:type="dxa"/>
          <w:right w:w="15" w:type="dxa"/>
        </w:tblCellMar>
        <w:tblLook w:val="04A0" w:firstRow="1" w:lastRow="0" w:firstColumn="1" w:lastColumn="0" w:noHBand="0" w:noVBand="1"/>
      </w:tblPr>
      <w:tblGrid>
        <w:gridCol w:w="1800"/>
        <w:gridCol w:w="2405"/>
        <w:gridCol w:w="3831"/>
        <w:gridCol w:w="1308"/>
      </w:tblGrid>
      <w:tr w:rsidR="00E77DC6" w:rsidTr="668275B5" w14:paraId="46A4ACAB" w14:textId="77777777">
        <w:tc>
          <w:tcPr>
            <w:tcW w:w="1800" w:type="dxa"/>
            <w:tcBorders/>
            <w:tcMar>
              <w:top w:w="75" w:type="dxa"/>
              <w:left w:w="75" w:type="dxa"/>
              <w:bottom w:w="75" w:type="dxa"/>
              <w:right w:w="75" w:type="dxa"/>
            </w:tcMar>
            <w:hideMark/>
          </w:tcPr>
          <w:p w:rsidR="00A3125E" w:rsidRDefault="00A3125E" w14:paraId="06D3F58D" w14:textId="77777777">
            <w:pPr>
              <w:rPr>
                <w:rFonts w:ascii="Calibri" w:hAnsi="Calibri" w:eastAsia="Times New Roman" w:cs="Calibri"/>
                <w:b/>
                <w:bCs/>
                <w:sz w:val="20"/>
                <w:szCs w:val="20"/>
              </w:rPr>
            </w:pPr>
            <w:r>
              <w:rPr>
                <w:rFonts w:ascii="Calibri" w:hAnsi="Calibri" w:eastAsia="Times New Roman" w:cs="Calibri"/>
                <w:b/>
                <w:bCs/>
                <w:sz w:val="20"/>
                <w:szCs w:val="20"/>
              </w:rPr>
              <w:t>Methodology</w:t>
            </w:r>
          </w:p>
        </w:tc>
        <w:tc>
          <w:tcPr>
            <w:tcW w:w="2405" w:type="dxa"/>
            <w:tcBorders/>
            <w:tcMar>
              <w:top w:w="75" w:type="dxa"/>
              <w:left w:w="75" w:type="dxa"/>
              <w:bottom w:w="75" w:type="dxa"/>
              <w:right w:w="75" w:type="dxa"/>
            </w:tcMar>
            <w:hideMark/>
          </w:tcPr>
          <w:p w:rsidR="00A3125E" w:rsidRDefault="00A3125E" w14:paraId="0C7FDA59" w14:textId="77777777">
            <w:pPr>
              <w:rPr>
                <w:rFonts w:ascii="Calibri" w:hAnsi="Calibri" w:eastAsia="Times New Roman" w:cs="Calibri"/>
                <w:b/>
                <w:bCs/>
                <w:sz w:val="20"/>
                <w:szCs w:val="20"/>
              </w:rPr>
            </w:pPr>
            <w:r>
              <w:rPr>
                <w:rFonts w:ascii="Calibri" w:hAnsi="Calibri" w:eastAsia="Times New Roman" w:cs="Calibri"/>
                <w:b/>
                <w:bCs/>
                <w:sz w:val="20"/>
                <w:szCs w:val="20"/>
              </w:rPr>
              <w:t>Strengths</w:t>
            </w:r>
          </w:p>
        </w:tc>
        <w:tc>
          <w:tcPr>
            <w:tcW w:w="3831" w:type="dxa"/>
            <w:tcBorders/>
            <w:tcMar>
              <w:top w:w="75" w:type="dxa"/>
              <w:left w:w="75" w:type="dxa"/>
              <w:bottom w:w="75" w:type="dxa"/>
              <w:right w:w="75" w:type="dxa"/>
            </w:tcMar>
            <w:hideMark/>
          </w:tcPr>
          <w:p w:rsidR="00A3125E" w:rsidRDefault="00A3125E" w14:paraId="1FE83DAF" w14:textId="77777777">
            <w:pPr>
              <w:rPr>
                <w:rFonts w:ascii="Calibri" w:hAnsi="Calibri" w:eastAsia="Times New Roman" w:cs="Calibri"/>
                <w:b/>
                <w:bCs/>
                <w:sz w:val="20"/>
                <w:szCs w:val="20"/>
              </w:rPr>
            </w:pPr>
            <w:r>
              <w:rPr>
                <w:rFonts w:ascii="Calibri" w:hAnsi="Calibri" w:eastAsia="Times New Roman" w:cs="Calibri"/>
                <w:b/>
                <w:bCs/>
                <w:sz w:val="20"/>
                <w:szCs w:val="20"/>
              </w:rPr>
              <w:t>Weaknesses for the CWCS Project</w:t>
            </w:r>
          </w:p>
        </w:tc>
        <w:tc>
          <w:tcPr>
            <w:tcW w:w="1308" w:type="dxa"/>
            <w:tcBorders/>
            <w:tcMar>
              <w:top w:w="75" w:type="dxa"/>
              <w:left w:w="75" w:type="dxa"/>
              <w:bottom w:w="75" w:type="dxa"/>
              <w:right w:w="75" w:type="dxa"/>
            </w:tcMar>
            <w:hideMark/>
          </w:tcPr>
          <w:p w:rsidR="00A3125E" w:rsidRDefault="00A3125E" w14:paraId="2B9322A4" w14:textId="77777777">
            <w:pPr>
              <w:rPr>
                <w:rFonts w:ascii="Calibri" w:hAnsi="Calibri" w:eastAsia="Times New Roman" w:cs="Calibri"/>
                <w:b/>
                <w:bCs/>
                <w:sz w:val="20"/>
                <w:szCs w:val="20"/>
              </w:rPr>
            </w:pPr>
            <w:r>
              <w:rPr>
                <w:rFonts w:ascii="Calibri" w:hAnsi="Calibri" w:eastAsia="Times New Roman" w:cs="Calibri"/>
                <w:b/>
                <w:bCs/>
                <w:sz w:val="20"/>
                <w:szCs w:val="20"/>
              </w:rPr>
              <w:t>Outcome</w:t>
            </w:r>
          </w:p>
        </w:tc>
      </w:tr>
      <w:tr w:rsidR="00E77DC6" w:rsidTr="668275B5" w14:paraId="0579D978" w14:textId="77777777">
        <w:tc>
          <w:tcPr>
            <w:tcW w:w="1800" w:type="dxa"/>
            <w:tcBorders/>
            <w:tcMar>
              <w:top w:w="75" w:type="dxa"/>
              <w:left w:w="75" w:type="dxa"/>
              <w:bottom w:w="75" w:type="dxa"/>
              <w:right w:w="75" w:type="dxa"/>
            </w:tcMar>
            <w:hideMark/>
          </w:tcPr>
          <w:p w:rsidR="00A3125E" w:rsidRDefault="00A3125E" w14:paraId="3680F3B7" w14:textId="77777777">
            <w:pPr>
              <w:rPr>
                <w:rFonts w:ascii="Calibri" w:hAnsi="Calibri" w:eastAsia="Times New Roman" w:cs="Calibri"/>
                <w:sz w:val="20"/>
                <w:szCs w:val="20"/>
              </w:rPr>
            </w:pPr>
            <w:r>
              <w:rPr>
                <w:rStyle w:val="Strong"/>
                <w:rFonts w:ascii="Calibri" w:hAnsi="Calibri" w:eastAsia="Times New Roman" w:cs="Calibri"/>
                <w:sz w:val="20"/>
                <w:szCs w:val="20"/>
              </w:rPr>
              <w:t>Waterfall</w:t>
            </w:r>
          </w:p>
        </w:tc>
        <w:tc>
          <w:tcPr>
            <w:tcW w:w="2405" w:type="dxa"/>
            <w:tcBorders/>
            <w:tcMar>
              <w:top w:w="75" w:type="dxa"/>
              <w:left w:w="75" w:type="dxa"/>
              <w:bottom w:w="75" w:type="dxa"/>
              <w:right w:w="75" w:type="dxa"/>
            </w:tcMar>
            <w:hideMark/>
          </w:tcPr>
          <w:p w:rsidR="00A3125E" w:rsidRDefault="006C7FC0" w14:paraId="0C1273EC" w14:textId="64B40AD3">
            <w:pPr>
              <w:rPr>
                <w:rFonts w:ascii="Calibri" w:hAnsi="Calibri" w:eastAsia="Times New Roman" w:cs="Calibri"/>
                <w:sz w:val="20"/>
                <w:szCs w:val="20"/>
              </w:rPr>
            </w:pPr>
            <w:r w:rsidRPr="006C7FC0">
              <w:rPr>
                <w:rFonts w:ascii="Calibri" w:hAnsi="Calibri" w:eastAsia="Times New Roman" w:cs="Calibri"/>
                <w:sz w:val="20"/>
                <w:szCs w:val="20"/>
              </w:rPr>
              <w:t>Structured and easily documented with well-defined sign-off for each phase.</w:t>
            </w:r>
            <w:r w:rsidRPr="006C7FC0">
              <w:rPr>
                <w:rFonts w:ascii="Calibri" w:hAnsi="Calibri" w:eastAsia="Times New Roman" w:cs="Calibri"/>
                <w:sz w:val="20"/>
                <w:szCs w:val="20"/>
              </w:rPr>
              <w:tab/>
            </w:r>
          </w:p>
        </w:tc>
        <w:tc>
          <w:tcPr>
            <w:tcW w:w="3831" w:type="dxa"/>
            <w:tcBorders/>
            <w:tcMar>
              <w:top w:w="75" w:type="dxa"/>
              <w:left w:w="75" w:type="dxa"/>
              <w:bottom w:w="75" w:type="dxa"/>
              <w:right w:w="75" w:type="dxa"/>
            </w:tcMar>
            <w:hideMark/>
          </w:tcPr>
          <w:p w:rsidR="00A3125E" w:rsidRDefault="006C7FC0" w14:paraId="3AF5E04E" w14:textId="3FA78A08">
            <w:pPr>
              <w:rPr>
                <w:rFonts w:ascii="Calibri" w:hAnsi="Calibri" w:eastAsia="Times New Roman" w:cs="Calibri"/>
                <w:sz w:val="20"/>
                <w:szCs w:val="20"/>
              </w:rPr>
            </w:pPr>
            <w:r w:rsidRPr="006C7FC0">
              <w:rPr>
                <w:rFonts w:ascii="Calibri" w:hAnsi="Calibri" w:eastAsia="Times New Roman" w:cs="Calibri"/>
                <w:sz w:val="20"/>
                <w:szCs w:val="20"/>
              </w:rPr>
              <w:t>Analysis comes after requirements freeze, in contravention of Risk R1. Nearly all such working software is not adopted until towards the end, and map and payment glitches would come out too late to fix.</w:t>
            </w:r>
          </w:p>
        </w:tc>
        <w:tc>
          <w:tcPr>
            <w:tcW w:w="1308" w:type="dxa"/>
            <w:tcBorders/>
            <w:tcMar>
              <w:top w:w="75" w:type="dxa"/>
              <w:left w:w="75" w:type="dxa"/>
              <w:bottom w:w="75" w:type="dxa"/>
              <w:right w:w="75" w:type="dxa"/>
            </w:tcMar>
            <w:hideMark/>
          </w:tcPr>
          <w:p w:rsidR="00A3125E" w:rsidRDefault="00A3125E" w14:paraId="05AAD353" w14:textId="77777777">
            <w:pPr>
              <w:rPr>
                <w:rFonts w:ascii="Calibri" w:hAnsi="Calibri" w:eastAsia="Times New Roman" w:cs="Calibri"/>
                <w:sz w:val="20"/>
                <w:szCs w:val="20"/>
              </w:rPr>
            </w:pPr>
            <w:r>
              <w:rPr>
                <w:rFonts w:ascii="Calibri" w:hAnsi="Calibri" w:eastAsia="Times New Roman" w:cs="Calibri"/>
                <w:sz w:val="20"/>
                <w:szCs w:val="20"/>
              </w:rPr>
              <w:t>Rejected</w:t>
            </w:r>
          </w:p>
        </w:tc>
      </w:tr>
      <w:tr w:rsidR="00E77DC6" w:rsidTr="668275B5" w14:paraId="79708787" w14:textId="77777777">
        <w:tc>
          <w:tcPr>
            <w:tcW w:w="1800" w:type="dxa"/>
            <w:tcBorders/>
            <w:tcMar>
              <w:top w:w="75" w:type="dxa"/>
              <w:left w:w="75" w:type="dxa"/>
              <w:bottom w:w="75" w:type="dxa"/>
              <w:right w:w="75" w:type="dxa"/>
            </w:tcMar>
            <w:hideMark/>
          </w:tcPr>
          <w:p w:rsidR="00A3125E" w:rsidRDefault="00A3125E" w14:paraId="2E987A8E" w14:textId="77777777">
            <w:pPr>
              <w:rPr>
                <w:rFonts w:ascii="Calibri" w:hAnsi="Calibri" w:eastAsia="Times New Roman" w:cs="Calibri"/>
                <w:sz w:val="20"/>
                <w:szCs w:val="20"/>
              </w:rPr>
            </w:pPr>
            <w:r>
              <w:rPr>
                <w:rStyle w:val="Strong"/>
                <w:rFonts w:ascii="Calibri" w:hAnsi="Calibri" w:eastAsia="Times New Roman" w:cs="Calibri"/>
                <w:sz w:val="20"/>
                <w:szCs w:val="20"/>
              </w:rPr>
              <w:t>V-Model</w:t>
            </w:r>
          </w:p>
        </w:tc>
        <w:tc>
          <w:tcPr>
            <w:tcW w:w="2405" w:type="dxa"/>
            <w:tcBorders/>
            <w:tcMar>
              <w:top w:w="75" w:type="dxa"/>
              <w:left w:w="75" w:type="dxa"/>
              <w:bottom w:w="75" w:type="dxa"/>
              <w:right w:w="75" w:type="dxa"/>
            </w:tcMar>
            <w:hideMark/>
          </w:tcPr>
          <w:p w:rsidR="00A3125E" w:rsidRDefault="006C7FC0" w14:paraId="2AA268A3" w14:textId="1289474A">
            <w:pPr>
              <w:rPr>
                <w:rFonts w:ascii="Calibri" w:hAnsi="Calibri" w:eastAsia="Times New Roman" w:cs="Calibri"/>
                <w:sz w:val="20"/>
                <w:szCs w:val="20"/>
              </w:rPr>
            </w:pPr>
            <w:r w:rsidRPr="006C7FC0">
              <w:rPr>
                <w:rFonts w:ascii="Calibri" w:hAnsi="Calibri" w:eastAsia="Times New Roman" w:cs="Calibri"/>
                <w:sz w:val="20"/>
                <w:szCs w:val="20"/>
              </w:rPr>
              <w:t>Relates a test stage to each development stage providing excellent verification.</w:t>
            </w:r>
            <w:r w:rsidRPr="006C7FC0">
              <w:rPr>
                <w:rFonts w:ascii="Calibri" w:hAnsi="Calibri" w:eastAsia="Times New Roman" w:cs="Calibri"/>
                <w:sz w:val="20"/>
                <w:szCs w:val="20"/>
              </w:rPr>
              <w:tab/>
            </w:r>
          </w:p>
        </w:tc>
        <w:tc>
          <w:tcPr>
            <w:tcW w:w="3831" w:type="dxa"/>
            <w:tcBorders/>
            <w:tcMar>
              <w:top w:w="75" w:type="dxa"/>
              <w:left w:w="75" w:type="dxa"/>
              <w:bottom w:w="75" w:type="dxa"/>
              <w:right w:w="75" w:type="dxa"/>
            </w:tcMar>
            <w:hideMark/>
          </w:tcPr>
          <w:p w:rsidR="00A3125E" w:rsidRDefault="006C7FC0" w14:paraId="339500E5" w14:textId="632082C9">
            <w:pPr>
              <w:rPr>
                <w:rFonts w:ascii="Calibri" w:hAnsi="Calibri" w:eastAsia="Times New Roman" w:cs="Calibri"/>
                <w:sz w:val="20"/>
                <w:szCs w:val="20"/>
              </w:rPr>
            </w:pPr>
            <w:r w:rsidRPr="006C7FC0">
              <w:rPr>
                <w:rFonts w:ascii="Calibri" w:hAnsi="Calibri" w:eastAsia="Times New Roman" w:cs="Calibri"/>
                <w:sz w:val="20"/>
                <w:szCs w:val="20"/>
              </w:rPr>
              <w:t>Saves the same Waterfall rigidity; if there is a late change, specification and matching test level must be changed.</w:t>
            </w:r>
            <w:r w:rsidRPr="006C7FC0">
              <w:rPr>
                <w:rFonts w:ascii="Calibri" w:hAnsi="Calibri" w:eastAsia="Times New Roman" w:cs="Calibri"/>
                <w:sz w:val="20"/>
                <w:szCs w:val="20"/>
              </w:rPr>
              <w:tab/>
            </w:r>
          </w:p>
        </w:tc>
        <w:tc>
          <w:tcPr>
            <w:tcW w:w="1308" w:type="dxa"/>
            <w:tcBorders/>
            <w:tcMar>
              <w:top w:w="75" w:type="dxa"/>
              <w:left w:w="75" w:type="dxa"/>
              <w:bottom w:w="75" w:type="dxa"/>
              <w:right w:w="75" w:type="dxa"/>
            </w:tcMar>
            <w:hideMark/>
          </w:tcPr>
          <w:p w:rsidR="00A3125E" w:rsidRDefault="00A3125E" w14:paraId="76501633" w14:textId="77777777">
            <w:pPr>
              <w:rPr>
                <w:rFonts w:ascii="Calibri" w:hAnsi="Calibri" w:eastAsia="Times New Roman" w:cs="Calibri"/>
                <w:sz w:val="20"/>
                <w:szCs w:val="20"/>
              </w:rPr>
            </w:pPr>
            <w:r>
              <w:rPr>
                <w:rFonts w:ascii="Calibri" w:hAnsi="Calibri" w:eastAsia="Times New Roman" w:cs="Calibri"/>
                <w:sz w:val="20"/>
                <w:szCs w:val="20"/>
              </w:rPr>
              <w:t>Rejected</w:t>
            </w:r>
          </w:p>
        </w:tc>
      </w:tr>
      <w:tr w:rsidR="00E77DC6" w:rsidTr="668275B5" w14:paraId="60CFCB54" w14:textId="77777777">
        <w:tc>
          <w:tcPr>
            <w:tcW w:w="1800" w:type="dxa"/>
            <w:tcBorders/>
            <w:tcMar>
              <w:top w:w="75" w:type="dxa"/>
              <w:left w:w="75" w:type="dxa"/>
              <w:bottom w:w="75" w:type="dxa"/>
              <w:right w:w="75" w:type="dxa"/>
            </w:tcMar>
            <w:hideMark/>
          </w:tcPr>
          <w:p w:rsidR="00A3125E" w:rsidRDefault="00A3125E" w14:paraId="6D0C408C" w14:textId="77777777">
            <w:pPr>
              <w:rPr>
                <w:rFonts w:ascii="Calibri" w:hAnsi="Calibri" w:eastAsia="Times New Roman" w:cs="Calibri"/>
                <w:sz w:val="20"/>
                <w:szCs w:val="20"/>
              </w:rPr>
            </w:pPr>
            <w:r>
              <w:rPr>
                <w:rStyle w:val="Strong"/>
                <w:rFonts w:ascii="Calibri" w:hAnsi="Calibri" w:eastAsia="Times New Roman" w:cs="Calibri"/>
                <w:sz w:val="20"/>
                <w:szCs w:val="20"/>
              </w:rPr>
              <w:t>Spiral</w:t>
            </w:r>
          </w:p>
        </w:tc>
        <w:tc>
          <w:tcPr>
            <w:tcW w:w="2405" w:type="dxa"/>
            <w:tcBorders/>
            <w:tcMar>
              <w:top w:w="75" w:type="dxa"/>
              <w:left w:w="75" w:type="dxa"/>
              <w:bottom w:w="75" w:type="dxa"/>
              <w:right w:w="75" w:type="dxa"/>
            </w:tcMar>
            <w:hideMark/>
          </w:tcPr>
          <w:p w:rsidR="00A3125E" w:rsidRDefault="006C7FC0" w14:paraId="0A153A77" w14:textId="7335735D">
            <w:pPr>
              <w:rPr>
                <w:rFonts w:ascii="Calibri" w:hAnsi="Calibri" w:eastAsia="Times New Roman" w:cs="Calibri"/>
                <w:sz w:val="20"/>
                <w:szCs w:val="20"/>
              </w:rPr>
            </w:pPr>
            <w:r w:rsidRPr="006C7FC0">
              <w:rPr>
                <w:rFonts w:ascii="Calibri" w:hAnsi="Calibri" w:eastAsia="Times New Roman" w:cs="Calibri"/>
                <w:sz w:val="20"/>
                <w:szCs w:val="20"/>
              </w:rPr>
              <w:t>Payment and personal information system suiting - risk driven.</w:t>
            </w:r>
            <w:r w:rsidRPr="006C7FC0">
              <w:rPr>
                <w:rFonts w:ascii="Calibri" w:hAnsi="Calibri" w:eastAsia="Times New Roman" w:cs="Calibri"/>
                <w:sz w:val="20"/>
                <w:szCs w:val="20"/>
              </w:rPr>
              <w:tab/>
            </w:r>
          </w:p>
        </w:tc>
        <w:tc>
          <w:tcPr>
            <w:tcW w:w="3831" w:type="dxa"/>
            <w:tcBorders/>
            <w:tcMar>
              <w:top w:w="75" w:type="dxa"/>
              <w:left w:w="75" w:type="dxa"/>
              <w:bottom w:w="75" w:type="dxa"/>
              <w:right w:w="75" w:type="dxa"/>
            </w:tcMar>
            <w:hideMark/>
          </w:tcPr>
          <w:p w:rsidR="00A3125E" w:rsidRDefault="006C7FC0" w14:paraId="6B70A797" w14:textId="4EC58FBC">
            <w:pPr>
              <w:rPr>
                <w:rFonts w:ascii="Calibri" w:hAnsi="Calibri" w:eastAsia="Times New Roman" w:cs="Calibri"/>
                <w:sz w:val="20"/>
                <w:szCs w:val="20"/>
              </w:rPr>
            </w:pPr>
            <w:r w:rsidRPr="006C7FC0">
              <w:rPr>
                <w:rFonts w:ascii="Calibri" w:hAnsi="Calibri" w:eastAsia="Times New Roman" w:cs="Calibri"/>
                <w:sz w:val="20"/>
                <w:szCs w:val="20"/>
              </w:rPr>
              <w:t xml:space="preserve">Each cycle needed twelve weeks as this was too much work for a </w:t>
            </w:r>
            <w:r w:rsidRPr="006C7FC0">
              <w:rPr>
                <w:rFonts w:ascii="Calibri" w:hAnsi="Calibri" w:eastAsia="Times New Roman" w:cs="Calibri"/>
                <w:sz w:val="20"/>
                <w:szCs w:val="20"/>
              </w:rPr>
              <w:t>five-member</w:t>
            </w:r>
            <w:r w:rsidRPr="006C7FC0">
              <w:rPr>
                <w:rFonts w:ascii="Calibri" w:hAnsi="Calibri" w:eastAsia="Times New Roman" w:cs="Calibri"/>
                <w:sz w:val="20"/>
                <w:szCs w:val="20"/>
              </w:rPr>
              <w:t xml:space="preserve"> team to prototype and risk </w:t>
            </w:r>
            <w:proofErr w:type="spellStart"/>
            <w:r w:rsidRPr="006C7FC0">
              <w:rPr>
                <w:rFonts w:ascii="Calibri" w:hAnsi="Calibri" w:eastAsia="Times New Roman" w:cs="Calibri"/>
                <w:sz w:val="20"/>
                <w:szCs w:val="20"/>
              </w:rPr>
              <w:t>analyse</w:t>
            </w:r>
            <w:proofErr w:type="spellEnd"/>
            <w:r w:rsidR="00A3125E">
              <w:rPr>
                <w:rFonts w:ascii="Calibri" w:hAnsi="Calibri" w:eastAsia="Times New Roman" w:cs="Calibri"/>
                <w:sz w:val="20"/>
                <w:szCs w:val="20"/>
              </w:rPr>
              <w:t>.</w:t>
            </w:r>
          </w:p>
        </w:tc>
        <w:tc>
          <w:tcPr>
            <w:tcW w:w="1308" w:type="dxa"/>
            <w:tcBorders/>
            <w:tcMar>
              <w:top w:w="75" w:type="dxa"/>
              <w:left w:w="75" w:type="dxa"/>
              <w:bottom w:w="75" w:type="dxa"/>
              <w:right w:w="75" w:type="dxa"/>
            </w:tcMar>
            <w:hideMark/>
          </w:tcPr>
          <w:p w:rsidR="00A3125E" w:rsidRDefault="00A3125E" w14:paraId="5BDA4D2E" w14:textId="77777777">
            <w:pPr>
              <w:rPr>
                <w:rFonts w:ascii="Calibri" w:hAnsi="Calibri" w:eastAsia="Times New Roman" w:cs="Calibri"/>
                <w:sz w:val="20"/>
                <w:szCs w:val="20"/>
              </w:rPr>
            </w:pPr>
            <w:r>
              <w:rPr>
                <w:rFonts w:ascii="Calibri" w:hAnsi="Calibri" w:eastAsia="Times New Roman" w:cs="Calibri"/>
                <w:sz w:val="20"/>
                <w:szCs w:val="20"/>
              </w:rPr>
              <w:t>Rejected</w:t>
            </w:r>
          </w:p>
        </w:tc>
      </w:tr>
      <w:tr w:rsidR="00E77DC6" w:rsidTr="668275B5" w14:paraId="40BF6DD7" w14:textId="77777777">
        <w:tc>
          <w:tcPr>
            <w:tcW w:w="1800" w:type="dxa"/>
            <w:tcBorders/>
            <w:tcMar>
              <w:top w:w="75" w:type="dxa"/>
              <w:left w:w="75" w:type="dxa"/>
              <w:bottom w:w="75" w:type="dxa"/>
              <w:right w:w="75" w:type="dxa"/>
            </w:tcMar>
            <w:hideMark/>
          </w:tcPr>
          <w:p w:rsidR="00A3125E" w:rsidRDefault="00A3125E" w14:paraId="1EB84BC1" w14:textId="76691F64">
            <w:pPr>
              <w:rPr>
                <w:rFonts w:ascii="Calibri" w:hAnsi="Calibri" w:eastAsia="Times New Roman" w:cs="Calibri"/>
                <w:sz w:val="20"/>
                <w:szCs w:val="20"/>
              </w:rPr>
            </w:pPr>
            <w:r>
              <w:rPr>
                <w:rStyle w:val="Strong"/>
                <w:rFonts w:ascii="Calibri" w:hAnsi="Calibri" w:eastAsia="Times New Roman" w:cs="Calibri"/>
                <w:sz w:val="20"/>
                <w:szCs w:val="20"/>
              </w:rPr>
              <w:t xml:space="preserve">Agile </w:t>
            </w:r>
            <w:r w:rsidR="006C7FC0">
              <w:rPr>
                <w:rStyle w:val="Strong"/>
                <w:rFonts w:ascii="Calibri" w:hAnsi="Calibri" w:eastAsia="Times New Roman" w:cs="Calibri"/>
                <w:sz w:val="20"/>
                <w:szCs w:val="20"/>
              </w:rPr>
              <w:t>-</w:t>
            </w:r>
            <w:r>
              <w:rPr>
                <w:rStyle w:val="Strong"/>
                <w:rFonts w:ascii="Calibri" w:hAnsi="Calibri" w:eastAsia="Times New Roman" w:cs="Calibri"/>
                <w:sz w:val="20"/>
                <w:szCs w:val="20"/>
              </w:rPr>
              <w:t xml:space="preserve"> Scrum</w:t>
            </w:r>
          </w:p>
        </w:tc>
        <w:tc>
          <w:tcPr>
            <w:tcW w:w="2405" w:type="dxa"/>
            <w:tcBorders/>
            <w:tcMar>
              <w:top w:w="75" w:type="dxa"/>
              <w:left w:w="75" w:type="dxa"/>
              <w:bottom w:w="75" w:type="dxa"/>
              <w:right w:w="75" w:type="dxa"/>
            </w:tcMar>
            <w:hideMark/>
          </w:tcPr>
          <w:p w:rsidR="00A3125E" w:rsidRDefault="006C7FC0" w14:paraId="1F3EF6B8" w14:textId="352B7E74">
            <w:pPr>
              <w:rPr>
                <w:rFonts w:ascii="Calibri" w:hAnsi="Calibri" w:eastAsia="Times New Roman" w:cs="Calibri"/>
                <w:sz w:val="20"/>
                <w:szCs w:val="20"/>
              </w:rPr>
            </w:pPr>
            <w:r w:rsidRPr="006C7FC0">
              <w:rPr>
                <w:rFonts w:ascii="Calibri" w:hAnsi="Calibri" w:eastAsia="Times New Roman" w:cs="Calibri"/>
                <w:sz w:val="20"/>
                <w:szCs w:val="20"/>
              </w:rPr>
              <w:t>Increments created in time-boxed sprints; embracing controlled change; ceremonies lightweight for small team.</w:t>
            </w:r>
            <w:r w:rsidRPr="006C7FC0">
              <w:rPr>
                <w:rFonts w:ascii="Calibri" w:hAnsi="Calibri" w:eastAsia="Times New Roman" w:cs="Calibri"/>
                <w:sz w:val="20"/>
                <w:szCs w:val="20"/>
              </w:rPr>
              <w:tab/>
            </w:r>
          </w:p>
        </w:tc>
        <w:tc>
          <w:tcPr>
            <w:tcW w:w="3831" w:type="dxa"/>
            <w:tcBorders/>
            <w:tcMar>
              <w:top w:w="75" w:type="dxa"/>
              <w:left w:w="75" w:type="dxa"/>
              <w:bottom w:w="75" w:type="dxa"/>
              <w:right w:w="75" w:type="dxa"/>
            </w:tcMar>
            <w:hideMark/>
          </w:tcPr>
          <w:p w:rsidR="00A3125E" w:rsidRDefault="006C7FC0" w14:paraId="4D8BAEE2" w14:textId="1786092C">
            <w:pPr>
              <w:rPr>
                <w:rFonts w:ascii="Calibri" w:hAnsi="Calibri" w:eastAsia="Times New Roman" w:cs="Calibri"/>
                <w:sz w:val="20"/>
                <w:szCs w:val="20"/>
              </w:rPr>
            </w:pPr>
            <w:r w:rsidRPr="006C7FC0">
              <w:rPr>
                <w:rFonts w:ascii="Calibri" w:hAnsi="Calibri" w:eastAsia="Times New Roman" w:cs="Calibri"/>
                <w:sz w:val="20"/>
                <w:szCs w:val="20"/>
              </w:rPr>
              <w:t>Needs disciplined backlog management, and tends to generate less formal documentation; must make a conscious effort to deliberate documentation.</w:t>
            </w:r>
            <w:r w:rsidRPr="006C7FC0">
              <w:rPr>
                <w:rFonts w:ascii="Calibri" w:hAnsi="Calibri" w:eastAsia="Times New Roman" w:cs="Calibri"/>
                <w:sz w:val="20"/>
                <w:szCs w:val="20"/>
              </w:rPr>
              <w:tab/>
            </w:r>
          </w:p>
        </w:tc>
        <w:tc>
          <w:tcPr>
            <w:tcW w:w="1308" w:type="dxa"/>
            <w:tcBorders/>
            <w:tcMar>
              <w:top w:w="75" w:type="dxa"/>
              <w:left w:w="75" w:type="dxa"/>
              <w:bottom w:w="75" w:type="dxa"/>
              <w:right w:w="75" w:type="dxa"/>
            </w:tcMar>
            <w:hideMark/>
          </w:tcPr>
          <w:p w:rsidR="00A3125E" w:rsidRDefault="00A3125E" w14:paraId="02C0FD3B" w14:textId="77777777">
            <w:pPr>
              <w:rPr>
                <w:rFonts w:ascii="Calibri" w:hAnsi="Calibri" w:eastAsia="Times New Roman" w:cs="Calibri"/>
                <w:sz w:val="20"/>
                <w:szCs w:val="20"/>
              </w:rPr>
            </w:pPr>
            <w:r>
              <w:rPr>
                <w:rStyle w:val="Strong"/>
                <w:rFonts w:ascii="Calibri" w:hAnsi="Calibri" w:eastAsia="Times New Roman" w:cs="Calibri"/>
                <w:sz w:val="20"/>
                <w:szCs w:val="20"/>
              </w:rPr>
              <w:t>Selected</w:t>
            </w:r>
          </w:p>
        </w:tc>
      </w:tr>
    </w:tbl>
    <w:p w:rsidR="668275B5" w:rsidP="668275B5" w:rsidRDefault="668275B5" w14:paraId="440A0B0A" w14:textId="197A0205">
      <w:pPr>
        <w:pStyle w:val="Normal"/>
        <w:rPr>
          <w:b w:val="1"/>
          <w:bCs w:val="1"/>
        </w:rPr>
      </w:pPr>
    </w:p>
    <w:p w:rsidR="00A3125E" w:rsidP="668275B5" w:rsidRDefault="00A3125E" w14:paraId="0AE5ADCC" w14:textId="282BEF8F">
      <w:pPr>
        <w:pStyle w:val="Normal"/>
        <w:rPr>
          <w:b w:val="1"/>
          <w:bCs w:val="1"/>
        </w:rPr>
      </w:pPr>
      <w:r w:rsidRPr="668275B5" w:rsidR="15B0FC6B">
        <w:rPr>
          <w:b w:val="1"/>
          <w:bCs w:val="1"/>
        </w:rPr>
        <w:t>3</w:t>
      </w:r>
      <w:r w:rsidRPr="668275B5" w:rsidR="606E69C9">
        <w:rPr>
          <w:b w:val="1"/>
          <w:bCs w:val="1"/>
        </w:rPr>
        <w:t>.</w:t>
      </w:r>
      <w:r w:rsidRPr="668275B5" w:rsidR="15B0FC6B">
        <w:rPr>
          <w:b w:val="1"/>
          <w:bCs w:val="1"/>
        </w:rPr>
        <w:t xml:space="preserve"> Justification for Agile Scrum</w:t>
      </w:r>
    </w:p>
    <w:p w:rsidR="00A3125E" w:rsidRDefault="00A3125E" w14:paraId="284929AD" w14:textId="764FB0C3">
      <w:pPr>
        <w:numPr>
          <w:ilvl w:val="0"/>
          <w:numId w:val="1"/>
        </w:numPr>
        <w:spacing w:before="100" w:beforeAutospacing="1" w:after="100" w:afterAutospacing="1"/>
        <w:rPr>
          <w:rFonts w:eastAsia="Times New Roman"/>
        </w:rPr>
      </w:pPr>
      <w:r>
        <w:rPr>
          <w:rStyle w:val="Strong"/>
          <w:rFonts w:eastAsia="Times New Roman"/>
        </w:rPr>
        <w:t>Absorbs change.</w:t>
      </w:r>
      <w:r>
        <w:rPr>
          <w:rFonts w:eastAsia="Times New Roman"/>
        </w:rPr>
        <w:t xml:space="preserve"> </w:t>
      </w:r>
      <w:r w:rsidRPr="006C7FC0" w:rsidR="006C7FC0">
        <w:rPr>
          <w:rFonts w:eastAsia="Times New Roman"/>
        </w:rPr>
        <w:t>Risk R1 makes frequent alterations to their requirements, and Scrum alters the backlog at the sprint boundary where change does not render work invalid.</w:t>
      </w:r>
    </w:p>
    <w:p w:rsidR="00A3125E" w:rsidRDefault="00A3125E" w14:paraId="19D09F07" w14:textId="1EAA57C0">
      <w:pPr>
        <w:numPr>
          <w:ilvl w:val="0"/>
          <w:numId w:val="1"/>
        </w:numPr>
        <w:spacing w:before="100" w:beforeAutospacing="1" w:after="100" w:afterAutospacing="1"/>
        <w:rPr>
          <w:rFonts w:eastAsia="Times New Roman"/>
        </w:rPr>
      </w:pPr>
      <w:r>
        <w:rPr>
          <w:rStyle w:val="Strong"/>
          <w:rFonts w:eastAsia="Times New Roman"/>
        </w:rPr>
        <w:t>Protects the deadline.</w:t>
      </w:r>
      <w:r>
        <w:rPr>
          <w:rFonts w:eastAsia="Times New Roman"/>
        </w:rPr>
        <w:t xml:space="preserve"> </w:t>
      </w:r>
      <w:r w:rsidRPr="006C7FC0" w:rsidR="006C7FC0">
        <w:rPr>
          <w:rFonts w:eastAsia="Times New Roman"/>
        </w:rPr>
        <w:t xml:space="preserve">Since it's time-boxed and the backlog </w:t>
      </w:r>
      <w:proofErr w:type="spellStart"/>
      <w:r w:rsidRPr="006C7FC0" w:rsidR="006C7FC0">
        <w:rPr>
          <w:rFonts w:eastAsia="Times New Roman"/>
        </w:rPr>
        <w:t>prioritised</w:t>
      </w:r>
      <w:proofErr w:type="spellEnd"/>
      <w:r w:rsidRPr="006C7FC0" w:rsidR="006C7FC0">
        <w:rPr>
          <w:rFonts w:eastAsia="Times New Roman"/>
        </w:rPr>
        <w:t>, the lowest value items, such as FR36, AI Route Suggestion, are pushed back, effectively to the next release, given that the scope statement already has that as optional for the first release</w:t>
      </w:r>
      <w:r>
        <w:rPr>
          <w:rFonts w:eastAsia="Times New Roman"/>
        </w:rPr>
        <w:t>.</w:t>
      </w:r>
    </w:p>
    <w:p w:rsidR="00A3125E" w:rsidRDefault="00A3125E" w14:paraId="73718676" w14:textId="3FA6AAD1">
      <w:pPr>
        <w:numPr>
          <w:ilvl w:val="0"/>
          <w:numId w:val="1"/>
        </w:numPr>
        <w:spacing w:before="100" w:beforeAutospacing="1" w:after="100" w:afterAutospacing="1"/>
        <w:rPr>
          <w:rFonts w:eastAsia="Times New Roman"/>
        </w:rPr>
      </w:pPr>
      <w:r>
        <w:rPr>
          <w:rStyle w:val="Strong"/>
          <w:rFonts w:eastAsia="Times New Roman"/>
        </w:rPr>
        <w:t>Exposes risk early.</w:t>
      </w:r>
      <w:r>
        <w:rPr>
          <w:rFonts w:eastAsia="Times New Roman"/>
        </w:rPr>
        <w:t xml:space="preserve"> </w:t>
      </w:r>
      <w:r w:rsidRPr="006C7FC0" w:rsidR="006C7FC0">
        <w:rPr>
          <w:rFonts w:eastAsia="Times New Roman"/>
        </w:rPr>
        <w:t>Map, payment and email integration are all implemented within sprints, meaning that any failure that is encountered as part of integration is readily apparent, and at that point an alternative could be introduced</w:t>
      </w:r>
      <w:r>
        <w:rPr>
          <w:rFonts w:eastAsia="Times New Roman"/>
        </w:rPr>
        <w:t>.</w:t>
      </w:r>
    </w:p>
    <w:p w:rsidR="00A3125E" w:rsidRDefault="00A3125E" w14:paraId="6540628A" w14:textId="5B87B5AB">
      <w:pPr>
        <w:numPr>
          <w:ilvl w:val="0"/>
          <w:numId w:val="1"/>
        </w:numPr>
        <w:spacing w:before="100" w:beforeAutospacing="1" w:after="100" w:afterAutospacing="1"/>
        <w:rPr>
          <w:rFonts w:eastAsia="Times New Roman"/>
        </w:rPr>
      </w:pPr>
      <w:r>
        <w:rPr>
          <w:rStyle w:val="Strong"/>
          <w:rFonts w:eastAsia="Times New Roman"/>
        </w:rPr>
        <w:lastRenderedPageBreak/>
        <w:t>Embeds security and documentation.</w:t>
      </w:r>
      <w:r>
        <w:rPr>
          <w:rFonts w:eastAsia="Times New Roman"/>
        </w:rPr>
        <w:t xml:space="preserve"> </w:t>
      </w:r>
      <w:r w:rsidRPr="006C7FC0" w:rsidR="006C7FC0">
        <w:rPr>
          <w:rFonts w:eastAsia="Times New Roman"/>
        </w:rPr>
        <w:t>The sprint items are not documented in a pre-release type audit, but rather as security acceptance criteria, and the less documentation in Scrum is compensated for by the fact that the SRS is controlled baseline.</w:t>
      </w:r>
    </w:p>
    <w:p w:rsidR="00A3125E" w:rsidRDefault="00BA2753" w14:paraId="721123C4" w14:textId="5C44FB01">
      <w:pPr>
        <w:pStyle w:val="fig"/>
      </w:pPr>
      <w:r w:rsidRPr="00BA2753">
        <w:rPr>
          <w:noProof/>
        </w:rPr>
        <w:drawing>
          <wp:inline distT="0" distB="0" distL="0" distR="0" wp14:anchorId="5DF85FFA" wp14:editId="5F8DC17E">
            <wp:extent cx="5943600" cy="1628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628775"/>
                    </a:xfrm>
                    <a:prstGeom prst="rect">
                      <a:avLst/>
                    </a:prstGeom>
                  </pic:spPr>
                </pic:pic>
              </a:graphicData>
            </a:graphic>
          </wp:inline>
        </w:drawing>
      </w:r>
      <w:r w:rsidR="00A3125E">
        <w:t>Figure 13.1: The Scrum cycle adopted for the CWCS project</w:t>
      </w:r>
      <w:r w:rsidR="00A3125E">
        <w:br/>
      </w:r>
    </w:p>
    <w:p w:rsidR="00A3125E" w:rsidP="668275B5" w:rsidRDefault="00A3125E" w14:paraId="16961C07" w14:textId="10C8D33D">
      <w:pPr>
        <w:pStyle w:val="Normal"/>
        <w:rPr>
          <w:b w:val="1"/>
          <w:bCs w:val="1"/>
        </w:rPr>
      </w:pPr>
      <w:r w:rsidRPr="668275B5" w:rsidR="15B0FC6B">
        <w:rPr>
          <w:b w:val="1"/>
          <w:bCs w:val="1"/>
        </w:rPr>
        <w:t xml:space="preserve">4 </w:t>
      </w:r>
      <w:r w:rsidRPr="668275B5" w:rsidR="1F85A1CF">
        <w:rPr>
          <w:b w:val="1"/>
          <w:bCs w:val="1"/>
        </w:rPr>
        <w:t>.</w:t>
      </w:r>
      <w:r w:rsidRPr="668275B5" w:rsidR="15B0FC6B">
        <w:rPr>
          <w:b w:val="1"/>
          <w:bCs w:val="1"/>
        </w:rPr>
        <w:t>Scrum Roles Mapped to the Project Team</w:t>
      </w:r>
    </w:p>
    <w:tbl>
      <w:tblPr>
        <w:tblStyle w:val="TableGrid"/>
        <w:tblW w:w="5000" w:type="pct"/>
        <w:tblCellMar>
          <w:top w:w="15" w:type="dxa"/>
          <w:left w:w="15" w:type="dxa"/>
          <w:bottom w:w="15" w:type="dxa"/>
          <w:right w:w="15" w:type="dxa"/>
        </w:tblCellMar>
        <w:tblLook w:val="04A0" w:firstRow="1" w:lastRow="0" w:firstColumn="1" w:lastColumn="0" w:noHBand="0" w:noVBand="1"/>
      </w:tblPr>
      <w:tblGrid>
        <w:gridCol w:w="2055"/>
        <w:gridCol w:w="2056"/>
        <w:gridCol w:w="5233"/>
      </w:tblGrid>
      <w:tr w:rsidR="00E77DC6" w:rsidTr="668275B5" w14:paraId="2C982AC3" w14:textId="77777777">
        <w:tc>
          <w:tcPr>
            <w:tcW w:w="1100" w:type="pct"/>
            <w:tcBorders/>
            <w:tcMar>
              <w:top w:w="75" w:type="dxa"/>
              <w:left w:w="75" w:type="dxa"/>
              <w:bottom w:w="75" w:type="dxa"/>
              <w:right w:w="75" w:type="dxa"/>
            </w:tcMar>
            <w:hideMark/>
          </w:tcPr>
          <w:p w:rsidR="00A3125E" w:rsidRDefault="00A3125E" w14:paraId="17BDFBE8" w14:textId="77777777">
            <w:pPr>
              <w:rPr>
                <w:rFonts w:ascii="Calibri" w:hAnsi="Calibri" w:eastAsia="Times New Roman" w:cs="Calibri"/>
                <w:b/>
                <w:bCs/>
                <w:sz w:val="20"/>
                <w:szCs w:val="20"/>
              </w:rPr>
            </w:pPr>
            <w:r>
              <w:rPr>
                <w:rFonts w:ascii="Calibri" w:hAnsi="Calibri" w:eastAsia="Times New Roman" w:cs="Calibri"/>
                <w:b/>
                <w:bCs/>
                <w:sz w:val="20"/>
                <w:szCs w:val="20"/>
              </w:rPr>
              <w:t>Team Member</w:t>
            </w:r>
          </w:p>
        </w:tc>
        <w:tc>
          <w:tcPr>
            <w:tcW w:w="1100" w:type="pct"/>
            <w:tcBorders/>
            <w:tcMar>
              <w:top w:w="75" w:type="dxa"/>
              <w:left w:w="75" w:type="dxa"/>
              <w:bottom w:w="75" w:type="dxa"/>
              <w:right w:w="75" w:type="dxa"/>
            </w:tcMar>
            <w:hideMark/>
          </w:tcPr>
          <w:p w:rsidR="00A3125E" w:rsidRDefault="00A3125E" w14:paraId="6E75B212" w14:textId="77777777">
            <w:pPr>
              <w:rPr>
                <w:rFonts w:ascii="Calibri" w:hAnsi="Calibri" w:eastAsia="Times New Roman" w:cs="Calibri"/>
                <w:b/>
                <w:bCs/>
                <w:sz w:val="20"/>
                <w:szCs w:val="20"/>
              </w:rPr>
            </w:pPr>
            <w:r>
              <w:rPr>
                <w:rFonts w:ascii="Calibri" w:hAnsi="Calibri" w:eastAsia="Times New Roman" w:cs="Calibri"/>
                <w:b/>
                <w:bCs/>
                <w:sz w:val="20"/>
                <w:szCs w:val="20"/>
              </w:rPr>
              <w:t>Scrum Role</w:t>
            </w:r>
          </w:p>
        </w:tc>
        <w:tc>
          <w:tcPr>
            <w:tcW w:w="0" w:type="auto"/>
            <w:tcBorders/>
            <w:tcMar>
              <w:top w:w="75" w:type="dxa"/>
              <w:left w:w="75" w:type="dxa"/>
              <w:bottom w:w="75" w:type="dxa"/>
              <w:right w:w="75" w:type="dxa"/>
            </w:tcMar>
            <w:hideMark/>
          </w:tcPr>
          <w:p w:rsidR="00A3125E" w:rsidRDefault="00A3125E" w14:paraId="343D3E9F" w14:textId="77777777">
            <w:pPr>
              <w:rPr>
                <w:rFonts w:ascii="Calibri" w:hAnsi="Calibri" w:eastAsia="Times New Roman" w:cs="Calibri"/>
                <w:b/>
                <w:bCs/>
                <w:sz w:val="20"/>
                <w:szCs w:val="20"/>
              </w:rPr>
            </w:pPr>
            <w:r>
              <w:rPr>
                <w:rFonts w:ascii="Calibri" w:hAnsi="Calibri" w:eastAsia="Times New Roman" w:cs="Calibri"/>
                <w:b/>
                <w:bCs/>
                <w:sz w:val="20"/>
                <w:szCs w:val="20"/>
              </w:rPr>
              <w:t>Responsibilities Within the Methodology</w:t>
            </w:r>
          </w:p>
        </w:tc>
      </w:tr>
      <w:tr w:rsidR="00E77DC6" w:rsidTr="668275B5" w14:paraId="67761FE1" w14:textId="77777777">
        <w:tc>
          <w:tcPr>
            <w:tcW w:w="0" w:type="auto"/>
            <w:tcBorders/>
            <w:tcMar>
              <w:top w:w="75" w:type="dxa"/>
              <w:left w:w="75" w:type="dxa"/>
              <w:bottom w:w="75" w:type="dxa"/>
              <w:right w:w="75" w:type="dxa"/>
            </w:tcMar>
            <w:hideMark/>
          </w:tcPr>
          <w:p w:rsidR="00A3125E" w:rsidRDefault="00A3125E" w14:paraId="64AD3BE0" w14:textId="77777777">
            <w:pPr>
              <w:rPr>
                <w:rFonts w:ascii="Calibri" w:hAnsi="Calibri" w:eastAsia="Times New Roman" w:cs="Calibri"/>
                <w:sz w:val="20"/>
                <w:szCs w:val="20"/>
              </w:rPr>
            </w:pPr>
            <w:r>
              <w:rPr>
                <w:rFonts w:ascii="Calibri" w:hAnsi="Calibri" w:eastAsia="Times New Roman" w:cs="Calibri"/>
                <w:sz w:val="20"/>
                <w:szCs w:val="20"/>
              </w:rPr>
              <w:t>Md Imran Hossain</w:t>
            </w:r>
          </w:p>
        </w:tc>
        <w:tc>
          <w:tcPr>
            <w:tcW w:w="0" w:type="auto"/>
            <w:tcBorders/>
            <w:tcMar>
              <w:top w:w="75" w:type="dxa"/>
              <w:left w:w="75" w:type="dxa"/>
              <w:bottom w:w="75" w:type="dxa"/>
              <w:right w:w="75" w:type="dxa"/>
            </w:tcMar>
            <w:hideMark/>
          </w:tcPr>
          <w:p w:rsidR="00A3125E" w:rsidRDefault="00A3125E" w14:paraId="64DEF3B0" w14:textId="77777777">
            <w:pPr>
              <w:rPr>
                <w:rFonts w:ascii="Calibri" w:hAnsi="Calibri" w:eastAsia="Times New Roman" w:cs="Calibri"/>
                <w:sz w:val="20"/>
                <w:szCs w:val="20"/>
              </w:rPr>
            </w:pPr>
            <w:r>
              <w:rPr>
                <w:rFonts w:ascii="Calibri" w:hAnsi="Calibri" w:eastAsia="Times New Roman" w:cs="Calibri"/>
                <w:sz w:val="20"/>
                <w:szCs w:val="20"/>
              </w:rPr>
              <w:t>Scrum Master (Project Manager)</w:t>
            </w:r>
          </w:p>
        </w:tc>
        <w:tc>
          <w:tcPr>
            <w:tcW w:w="0" w:type="auto"/>
            <w:tcBorders/>
            <w:tcMar>
              <w:top w:w="75" w:type="dxa"/>
              <w:left w:w="75" w:type="dxa"/>
              <w:bottom w:w="75" w:type="dxa"/>
              <w:right w:w="75" w:type="dxa"/>
            </w:tcMar>
            <w:hideMark/>
          </w:tcPr>
          <w:p w:rsidR="00A3125E" w:rsidRDefault="006C7FC0" w14:paraId="583795AE" w14:textId="646A0162">
            <w:pPr>
              <w:rPr>
                <w:rFonts w:ascii="Calibri" w:hAnsi="Calibri" w:eastAsia="Times New Roman" w:cs="Calibri"/>
                <w:sz w:val="20"/>
                <w:szCs w:val="20"/>
              </w:rPr>
            </w:pPr>
            <w:r w:rsidRPr="006C7FC0">
              <w:rPr>
                <w:rFonts w:ascii="Calibri" w:hAnsi="Calibri" w:eastAsia="Times New Roman" w:cs="Calibri"/>
                <w:sz w:val="20"/>
                <w:szCs w:val="20"/>
              </w:rPr>
              <w:t>Facilitates events, keeps sprint board updated, gets rid of impediments and keeps the sprint protected from scope change.</w:t>
            </w:r>
          </w:p>
        </w:tc>
      </w:tr>
      <w:tr w:rsidR="00E77DC6" w:rsidTr="668275B5" w14:paraId="41053C48" w14:textId="77777777">
        <w:tc>
          <w:tcPr>
            <w:tcW w:w="0" w:type="auto"/>
            <w:tcBorders/>
            <w:tcMar>
              <w:top w:w="75" w:type="dxa"/>
              <w:left w:w="75" w:type="dxa"/>
              <w:bottom w:w="75" w:type="dxa"/>
              <w:right w:w="75" w:type="dxa"/>
            </w:tcMar>
            <w:hideMark/>
          </w:tcPr>
          <w:p w:rsidR="00A3125E" w:rsidRDefault="00A3125E" w14:paraId="39B1FB9E" w14:textId="77777777">
            <w:pPr>
              <w:rPr>
                <w:rFonts w:ascii="Calibri" w:hAnsi="Calibri" w:eastAsia="Times New Roman" w:cs="Calibri"/>
                <w:sz w:val="20"/>
                <w:szCs w:val="20"/>
              </w:rPr>
            </w:pPr>
            <w:r>
              <w:rPr>
                <w:rFonts w:ascii="Calibri" w:hAnsi="Calibri" w:eastAsia="Times New Roman" w:cs="Calibri"/>
                <w:sz w:val="20"/>
                <w:szCs w:val="20"/>
              </w:rPr>
              <w:t xml:space="preserve">Fahad Al </w:t>
            </w:r>
            <w:proofErr w:type="spellStart"/>
            <w:r>
              <w:rPr>
                <w:rFonts w:ascii="Calibri" w:hAnsi="Calibri" w:eastAsia="Times New Roman" w:cs="Calibri"/>
                <w:sz w:val="20"/>
                <w:szCs w:val="20"/>
              </w:rPr>
              <w:t>Jobayer</w:t>
            </w:r>
            <w:proofErr w:type="spellEnd"/>
          </w:p>
        </w:tc>
        <w:tc>
          <w:tcPr>
            <w:tcW w:w="0" w:type="auto"/>
            <w:tcBorders/>
            <w:tcMar>
              <w:top w:w="75" w:type="dxa"/>
              <w:left w:w="75" w:type="dxa"/>
              <w:bottom w:w="75" w:type="dxa"/>
              <w:right w:w="75" w:type="dxa"/>
            </w:tcMar>
            <w:hideMark/>
          </w:tcPr>
          <w:p w:rsidR="00A3125E" w:rsidRDefault="00A3125E" w14:paraId="7C0EA00E" w14:textId="77777777">
            <w:pPr>
              <w:rPr>
                <w:rFonts w:ascii="Calibri" w:hAnsi="Calibri" w:eastAsia="Times New Roman" w:cs="Calibri"/>
                <w:sz w:val="20"/>
                <w:szCs w:val="20"/>
              </w:rPr>
            </w:pPr>
            <w:r>
              <w:rPr>
                <w:rFonts w:ascii="Calibri" w:hAnsi="Calibri" w:eastAsia="Times New Roman" w:cs="Calibri"/>
                <w:sz w:val="20"/>
                <w:szCs w:val="20"/>
              </w:rPr>
              <w:t>Technical Lead</w:t>
            </w:r>
          </w:p>
        </w:tc>
        <w:tc>
          <w:tcPr>
            <w:tcW w:w="0" w:type="auto"/>
            <w:tcBorders/>
            <w:tcMar>
              <w:top w:w="75" w:type="dxa"/>
              <w:left w:w="75" w:type="dxa"/>
              <w:bottom w:w="75" w:type="dxa"/>
              <w:right w:w="75" w:type="dxa"/>
            </w:tcMar>
            <w:hideMark/>
          </w:tcPr>
          <w:p w:rsidR="00A3125E" w:rsidRDefault="006C7FC0" w14:paraId="581F3A1C" w14:textId="61080B8F">
            <w:pPr>
              <w:rPr>
                <w:rFonts w:ascii="Calibri" w:hAnsi="Calibri" w:eastAsia="Times New Roman" w:cs="Calibri"/>
                <w:sz w:val="20"/>
                <w:szCs w:val="20"/>
              </w:rPr>
            </w:pPr>
            <w:r w:rsidRPr="006C7FC0">
              <w:rPr>
                <w:rFonts w:ascii="Calibri" w:hAnsi="Calibri" w:eastAsia="Times New Roman" w:cs="Calibri"/>
                <w:sz w:val="20"/>
                <w:szCs w:val="20"/>
              </w:rPr>
              <w:t>Technical design ownership, checks for conformity with MVC (NFR11), maintains the repository, codes before acceptance.</w:t>
            </w:r>
          </w:p>
        </w:tc>
      </w:tr>
      <w:tr w:rsidR="00E77DC6" w:rsidTr="668275B5" w14:paraId="4448F0B9" w14:textId="77777777">
        <w:tc>
          <w:tcPr>
            <w:tcW w:w="0" w:type="auto"/>
            <w:tcBorders/>
            <w:tcMar>
              <w:top w:w="75" w:type="dxa"/>
              <w:left w:w="75" w:type="dxa"/>
              <w:bottom w:w="75" w:type="dxa"/>
              <w:right w:w="75" w:type="dxa"/>
            </w:tcMar>
            <w:hideMark/>
          </w:tcPr>
          <w:p w:rsidR="00A3125E" w:rsidRDefault="00A3125E" w14:paraId="00E67685" w14:textId="77777777">
            <w:pPr>
              <w:rPr>
                <w:rFonts w:ascii="Calibri" w:hAnsi="Calibri" w:eastAsia="Times New Roman" w:cs="Calibri"/>
                <w:sz w:val="20"/>
                <w:szCs w:val="20"/>
              </w:rPr>
            </w:pPr>
            <w:proofErr w:type="spellStart"/>
            <w:r>
              <w:rPr>
                <w:rFonts w:ascii="Calibri" w:hAnsi="Calibri" w:eastAsia="Times New Roman" w:cs="Calibri"/>
                <w:sz w:val="20"/>
                <w:szCs w:val="20"/>
              </w:rPr>
              <w:t>Debisha</w:t>
            </w:r>
            <w:proofErr w:type="spellEnd"/>
            <w:r>
              <w:rPr>
                <w:rFonts w:ascii="Calibri" w:hAnsi="Calibri" w:eastAsia="Times New Roman" w:cs="Calibri"/>
                <w:sz w:val="20"/>
                <w:szCs w:val="20"/>
              </w:rPr>
              <w:t xml:space="preserve"> Thapa</w:t>
            </w:r>
          </w:p>
        </w:tc>
        <w:tc>
          <w:tcPr>
            <w:tcW w:w="0" w:type="auto"/>
            <w:tcBorders/>
            <w:tcMar>
              <w:top w:w="75" w:type="dxa"/>
              <w:left w:w="75" w:type="dxa"/>
              <w:bottom w:w="75" w:type="dxa"/>
              <w:right w:w="75" w:type="dxa"/>
            </w:tcMar>
            <w:hideMark/>
          </w:tcPr>
          <w:p w:rsidR="00A3125E" w:rsidRDefault="00A3125E" w14:paraId="245D700F" w14:textId="77777777">
            <w:pPr>
              <w:rPr>
                <w:rFonts w:ascii="Calibri" w:hAnsi="Calibri" w:eastAsia="Times New Roman" w:cs="Calibri"/>
                <w:sz w:val="20"/>
                <w:szCs w:val="20"/>
              </w:rPr>
            </w:pPr>
            <w:r>
              <w:rPr>
                <w:rFonts w:ascii="Calibri" w:hAnsi="Calibri" w:eastAsia="Times New Roman" w:cs="Calibri"/>
                <w:sz w:val="20"/>
                <w:szCs w:val="20"/>
              </w:rPr>
              <w:t>Development Team</w:t>
            </w:r>
          </w:p>
        </w:tc>
        <w:tc>
          <w:tcPr>
            <w:tcW w:w="0" w:type="auto"/>
            <w:tcBorders/>
            <w:tcMar>
              <w:top w:w="75" w:type="dxa"/>
              <w:left w:w="75" w:type="dxa"/>
              <w:bottom w:w="75" w:type="dxa"/>
              <w:right w:w="75" w:type="dxa"/>
            </w:tcMar>
            <w:hideMark/>
          </w:tcPr>
          <w:p w:rsidR="00A3125E" w:rsidRDefault="006C7FC0" w14:paraId="2FA0BB94" w14:textId="314F966D">
            <w:pPr>
              <w:rPr>
                <w:rFonts w:ascii="Calibri" w:hAnsi="Calibri" w:eastAsia="Times New Roman" w:cs="Calibri"/>
                <w:sz w:val="20"/>
                <w:szCs w:val="20"/>
              </w:rPr>
            </w:pPr>
            <w:r w:rsidRPr="006C7FC0">
              <w:rPr>
                <w:rFonts w:ascii="Calibri" w:hAnsi="Calibri" w:eastAsia="Times New Roman" w:cs="Calibri"/>
                <w:sz w:val="20"/>
                <w:szCs w:val="20"/>
              </w:rPr>
              <w:t>Implements database increment and keeps integrity (NFR5) and provides security controls (NFR6-NFR8) and checks backup restoration.</w:t>
            </w:r>
          </w:p>
        </w:tc>
      </w:tr>
      <w:tr w:rsidR="00E77DC6" w:rsidTr="668275B5" w14:paraId="2488C0D5" w14:textId="77777777">
        <w:tc>
          <w:tcPr>
            <w:tcW w:w="0" w:type="auto"/>
            <w:tcBorders/>
            <w:tcMar>
              <w:top w:w="75" w:type="dxa"/>
              <w:left w:w="75" w:type="dxa"/>
              <w:bottom w:w="75" w:type="dxa"/>
              <w:right w:w="75" w:type="dxa"/>
            </w:tcMar>
            <w:hideMark/>
          </w:tcPr>
          <w:p w:rsidR="00A3125E" w:rsidRDefault="00A3125E" w14:paraId="3D47C422" w14:textId="77777777">
            <w:pPr>
              <w:rPr>
                <w:rFonts w:ascii="Calibri" w:hAnsi="Calibri" w:eastAsia="Times New Roman" w:cs="Calibri"/>
                <w:sz w:val="20"/>
                <w:szCs w:val="20"/>
              </w:rPr>
            </w:pPr>
            <w:proofErr w:type="spellStart"/>
            <w:r>
              <w:rPr>
                <w:rFonts w:ascii="Calibri" w:hAnsi="Calibri" w:eastAsia="Times New Roman" w:cs="Calibri"/>
                <w:sz w:val="20"/>
                <w:szCs w:val="20"/>
              </w:rPr>
              <w:t>Sharmen</w:t>
            </w:r>
            <w:proofErr w:type="spellEnd"/>
            <w:r>
              <w:rPr>
                <w:rFonts w:ascii="Calibri" w:hAnsi="Calibri" w:eastAsia="Times New Roman" w:cs="Calibri"/>
                <w:sz w:val="20"/>
                <w:szCs w:val="20"/>
              </w:rPr>
              <w:t xml:space="preserve"> Akter </w:t>
            </w:r>
            <w:proofErr w:type="spellStart"/>
            <w:r>
              <w:rPr>
                <w:rFonts w:ascii="Calibri" w:hAnsi="Calibri" w:eastAsia="Times New Roman" w:cs="Calibri"/>
                <w:sz w:val="20"/>
                <w:szCs w:val="20"/>
              </w:rPr>
              <w:t>Urme</w:t>
            </w:r>
            <w:proofErr w:type="spellEnd"/>
          </w:p>
        </w:tc>
        <w:tc>
          <w:tcPr>
            <w:tcW w:w="0" w:type="auto"/>
            <w:tcBorders/>
            <w:tcMar>
              <w:top w:w="75" w:type="dxa"/>
              <w:left w:w="75" w:type="dxa"/>
              <w:bottom w:w="75" w:type="dxa"/>
              <w:right w:w="75" w:type="dxa"/>
            </w:tcMar>
            <w:hideMark/>
          </w:tcPr>
          <w:p w:rsidR="00A3125E" w:rsidRDefault="00A3125E" w14:paraId="053C231F" w14:textId="77777777">
            <w:pPr>
              <w:rPr>
                <w:rFonts w:ascii="Calibri" w:hAnsi="Calibri" w:eastAsia="Times New Roman" w:cs="Calibri"/>
                <w:sz w:val="20"/>
                <w:szCs w:val="20"/>
              </w:rPr>
            </w:pPr>
            <w:r>
              <w:rPr>
                <w:rFonts w:ascii="Calibri" w:hAnsi="Calibri" w:eastAsia="Times New Roman" w:cs="Calibri"/>
                <w:sz w:val="20"/>
                <w:szCs w:val="20"/>
              </w:rPr>
              <w:t>Development Team</w:t>
            </w:r>
          </w:p>
        </w:tc>
        <w:tc>
          <w:tcPr>
            <w:tcW w:w="0" w:type="auto"/>
            <w:tcBorders/>
            <w:tcMar>
              <w:top w:w="75" w:type="dxa"/>
              <w:left w:w="75" w:type="dxa"/>
              <w:bottom w:w="75" w:type="dxa"/>
              <w:right w:w="75" w:type="dxa"/>
            </w:tcMar>
            <w:hideMark/>
          </w:tcPr>
          <w:p w:rsidR="00A3125E" w:rsidRDefault="006C7FC0" w14:paraId="6F1C1CC6" w14:textId="61EAEB10">
            <w:pPr>
              <w:rPr>
                <w:rFonts w:ascii="Calibri" w:hAnsi="Calibri" w:eastAsia="Times New Roman" w:cs="Calibri"/>
                <w:sz w:val="20"/>
                <w:szCs w:val="20"/>
              </w:rPr>
            </w:pPr>
            <w:r w:rsidRPr="006C7FC0">
              <w:rPr>
                <w:rFonts w:ascii="Calibri" w:hAnsi="Calibri" w:eastAsia="Times New Roman" w:cs="Calibri"/>
                <w:sz w:val="20"/>
                <w:szCs w:val="20"/>
              </w:rPr>
              <w:t>Solves problems, documents the results of ceremonies and files project documentation.</w:t>
            </w:r>
          </w:p>
        </w:tc>
      </w:tr>
      <w:tr w:rsidR="00E77DC6" w:rsidTr="668275B5" w14:paraId="3ADCCCB3" w14:textId="77777777">
        <w:tc>
          <w:tcPr>
            <w:tcW w:w="0" w:type="auto"/>
            <w:tcBorders/>
            <w:tcMar>
              <w:top w:w="75" w:type="dxa"/>
              <w:left w:w="75" w:type="dxa"/>
              <w:bottom w:w="75" w:type="dxa"/>
              <w:right w:w="75" w:type="dxa"/>
            </w:tcMar>
            <w:hideMark/>
          </w:tcPr>
          <w:p w:rsidR="00A3125E" w:rsidRDefault="00A3125E" w14:paraId="2D5A6A3F" w14:textId="77777777">
            <w:pPr>
              <w:rPr>
                <w:rFonts w:ascii="Calibri" w:hAnsi="Calibri" w:eastAsia="Times New Roman" w:cs="Calibri"/>
                <w:sz w:val="20"/>
                <w:szCs w:val="20"/>
              </w:rPr>
            </w:pPr>
            <w:r>
              <w:rPr>
                <w:rFonts w:ascii="Calibri" w:hAnsi="Calibri" w:eastAsia="Times New Roman" w:cs="Calibri"/>
                <w:sz w:val="20"/>
                <w:szCs w:val="20"/>
              </w:rPr>
              <w:t xml:space="preserve">Fiza </w:t>
            </w:r>
            <w:proofErr w:type="spellStart"/>
            <w:r>
              <w:rPr>
                <w:rFonts w:ascii="Calibri" w:hAnsi="Calibri" w:eastAsia="Times New Roman" w:cs="Calibri"/>
                <w:sz w:val="20"/>
                <w:szCs w:val="20"/>
              </w:rPr>
              <w:t>Taskeya</w:t>
            </w:r>
            <w:proofErr w:type="spellEnd"/>
          </w:p>
        </w:tc>
        <w:tc>
          <w:tcPr>
            <w:tcW w:w="0" w:type="auto"/>
            <w:tcBorders/>
            <w:tcMar>
              <w:top w:w="75" w:type="dxa"/>
              <w:left w:w="75" w:type="dxa"/>
              <w:bottom w:w="75" w:type="dxa"/>
              <w:right w:w="75" w:type="dxa"/>
            </w:tcMar>
            <w:hideMark/>
          </w:tcPr>
          <w:p w:rsidR="00A3125E" w:rsidRDefault="00A3125E" w14:paraId="00AAB594" w14:textId="77777777">
            <w:pPr>
              <w:rPr>
                <w:rFonts w:ascii="Calibri" w:hAnsi="Calibri" w:eastAsia="Times New Roman" w:cs="Calibri"/>
                <w:sz w:val="20"/>
                <w:szCs w:val="20"/>
              </w:rPr>
            </w:pPr>
            <w:r>
              <w:rPr>
                <w:rFonts w:ascii="Calibri" w:hAnsi="Calibri" w:eastAsia="Times New Roman" w:cs="Calibri"/>
                <w:sz w:val="20"/>
                <w:szCs w:val="20"/>
              </w:rPr>
              <w:t>Product Owner (proxy)</w:t>
            </w:r>
          </w:p>
        </w:tc>
        <w:tc>
          <w:tcPr>
            <w:tcW w:w="0" w:type="auto"/>
            <w:tcBorders/>
            <w:tcMar>
              <w:top w:w="75" w:type="dxa"/>
              <w:left w:w="75" w:type="dxa"/>
              <w:bottom w:w="75" w:type="dxa"/>
              <w:right w:w="75" w:type="dxa"/>
            </w:tcMar>
            <w:hideMark/>
          </w:tcPr>
          <w:p w:rsidR="00A3125E" w:rsidRDefault="006C7FC0" w14:paraId="30049535" w14:textId="1B2AF0D8">
            <w:pPr>
              <w:rPr>
                <w:rFonts w:ascii="Calibri" w:hAnsi="Calibri" w:eastAsia="Times New Roman" w:cs="Calibri"/>
                <w:sz w:val="20"/>
                <w:szCs w:val="20"/>
              </w:rPr>
            </w:pPr>
            <w:r w:rsidRPr="006C7FC0">
              <w:rPr>
                <w:rFonts w:ascii="Calibri" w:hAnsi="Calibri" w:eastAsia="Times New Roman" w:cs="Calibri"/>
                <w:sz w:val="20"/>
                <w:szCs w:val="20"/>
              </w:rPr>
              <w:t xml:space="preserve">Owns and </w:t>
            </w:r>
            <w:proofErr w:type="spellStart"/>
            <w:r w:rsidRPr="006C7FC0">
              <w:rPr>
                <w:rFonts w:ascii="Calibri" w:hAnsi="Calibri" w:eastAsia="Times New Roman" w:cs="Calibri"/>
                <w:sz w:val="20"/>
                <w:szCs w:val="20"/>
              </w:rPr>
              <w:t>prioritises</w:t>
            </w:r>
            <w:proofErr w:type="spellEnd"/>
            <w:r w:rsidRPr="006C7FC0">
              <w:rPr>
                <w:rFonts w:ascii="Calibri" w:hAnsi="Calibri" w:eastAsia="Times New Roman" w:cs="Calibri"/>
                <w:sz w:val="20"/>
                <w:szCs w:val="20"/>
              </w:rPr>
              <w:t xml:space="preserve"> the backlog, drafts user stories including acceptance criteria and accepts each increment to the system with regard to its user story.</w:t>
            </w:r>
          </w:p>
        </w:tc>
      </w:tr>
    </w:tbl>
    <w:p w:rsidR="00A3125E" w:rsidRDefault="006C7FC0" w14:paraId="43A5C814" w14:textId="28EE0045">
      <w:pPr>
        <w:pStyle w:val="NormalWeb"/>
      </w:pPr>
      <w:r w:rsidRPr="006C7FC0">
        <w:t>Since BINCOL is not able to provide a daily representative, the Business Analyst performs the role of Proxy Product Owner. Priority decisions are validated with the client during the sprint review and if the client changes their mind, a change request is logged</w:t>
      </w:r>
      <w:r w:rsidR="00A3125E">
        <w:t>.</w:t>
      </w:r>
    </w:p>
    <w:p w:rsidR="00A3125E" w:rsidP="668275B5" w:rsidRDefault="00A3125E" w14:paraId="49F98FB7" w14:textId="2BC0D037">
      <w:pPr>
        <w:pStyle w:val="Normal"/>
      </w:pPr>
      <w:r w:rsidR="15B0FC6B">
        <w:rPr/>
        <w:t xml:space="preserve">5 </w:t>
      </w:r>
      <w:r w:rsidR="38795B30">
        <w:rPr/>
        <w:t>.</w:t>
      </w:r>
      <w:r w:rsidR="15B0FC6B">
        <w:rPr/>
        <w:t>Scrum Events and Artefacts</w:t>
      </w:r>
    </w:p>
    <w:p w:rsidR="00DE29B2" w:rsidP="00DE29B2" w:rsidRDefault="00DE29B2" w14:paraId="159FE07E" w14:textId="77777777">
      <w:pPr>
        <w:pStyle w:val="NormalWeb"/>
      </w:pPr>
      <w:r>
        <w:t xml:space="preserve">The goal and backlog items that will be worked on during the sprint are agreed by performing sprint planning (90 minutes) at the start of each sprint. The stand-ups are 15 minutes, but only occur three times a week because the team is not co-located and the situation is asynchronous—between the stand-ups they leave updates for the team on the team channel. Refine backlog is done during the middle of a sprint. At the end of each sprint a sprint review is held with the </w:t>
      </w:r>
      <w:r>
        <w:lastRenderedPageBreak/>
        <w:t>client, where the increment is shown to the client and feedback requested, and a retrospective held where one process improvement is agreed.</w:t>
      </w:r>
    </w:p>
    <w:p w:rsidR="00A3125E" w:rsidP="00DE29B2" w:rsidRDefault="00DE29B2" w14:paraId="78D382C0" w14:textId="4C575E99">
      <w:pPr>
        <w:pStyle w:val="NormalWeb"/>
      </w:pPr>
      <w:r>
        <w:t xml:space="preserve">Four artefacts are maintained including the product backlog (set of user stories with associated FR or NFR identified as issues in the shared GitHub repository and </w:t>
      </w:r>
      <w:proofErr w:type="spellStart"/>
      <w:r>
        <w:t>prioritised</w:t>
      </w:r>
      <w:proofErr w:type="spellEnd"/>
      <w:r>
        <w:t>); increased, sprint backlog and sprint board and burndown chart to identify slippage in time to take action within the sprint</w:t>
      </w:r>
      <w:r w:rsidR="00A3125E">
        <w:t>.</w:t>
      </w:r>
    </w:p>
    <w:p w:rsidR="00A3125E" w:rsidP="668275B5" w:rsidRDefault="00A3125E" w14:paraId="654BF0AA" w14:textId="208B762F">
      <w:pPr>
        <w:pStyle w:val="Normal"/>
        <w:rPr>
          <w:b w:val="1"/>
          <w:bCs w:val="1"/>
        </w:rPr>
      </w:pPr>
      <w:r w:rsidRPr="668275B5" w:rsidR="15B0FC6B">
        <w:rPr>
          <w:b w:val="1"/>
          <w:bCs w:val="1"/>
        </w:rPr>
        <w:t>6</w:t>
      </w:r>
      <w:r w:rsidRPr="668275B5" w:rsidR="13E60F34">
        <w:rPr>
          <w:b w:val="1"/>
          <w:bCs w:val="1"/>
        </w:rPr>
        <w:t>.</w:t>
      </w:r>
      <w:r w:rsidRPr="668275B5" w:rsidR="15B0FC6B">
        <w:rPr>
          <w:b w:val="1"/>
          <w:bCs w:val="1"/>
        </w:rPr>
        <w:t xml:space="preserve"> Sprint Plan</w:t>
      </w:r>
    </w:p>
    <w:p w:rsidR="00A3125E" w:rsidRDefault="00DE29B2" w14:paraId="2D5C9FC5" w14:textId="3CADF268">
      <w:pPr>
        <w:pStyle w:val="NormalWeb"/>
      </w:pPr>
      <w:r w:rsidRPr="00DE29B2">
        <w:t>Twelve-week</w:t>
      </w:r>
      <w:r w:rsidRPr="00DE29B2">
        <w:t xml:space="preserve"> plan: 6 sprints, each consisting of 2 weeks of work. Most later requirements depend on most of the foundational capabilities that are delivered first and security and recovery is done at a set point</w:t>
      </w:r>
      <w:r w:rsidR="00A3125E">
        <w:t>.</w:t>
      </w:r>
    </w:p>
    <w:tbl>
      <w:tblPr>
        <w:tblStyle w:val="TableGrid"/>
        <w:tblW w:w="5000" w:type="pct"/>
        <w:tblCellMar>
          <w:top w:w="15" w:type="dxa"/>
          <w:left w:w="15" w:type="dxa"/>
          <w:bottom w:w="15" w:type="dxa"/>
          <w:right w:w="15" w:type="dxa"/>
        </w:tblCellMar>
        <w:tblLook w:val="04A0" w:firstRow="1" w:lastRow="0" w:firstColumn="1" w:lastColumn="0" w:noHBand="0" w:noVBand="1"/>
      </w:tblPr>
      <w:tblGrid>
        <w:gridCol w:w="1263"/>
        <w:gridCol w:w="731"/>
        <w:gridCol w:w="1853"/>
        <w:gridCol w:w="5497"/>
      </w:tblGrid>
      <w:tr w:rsidR="00E77DC6" w:rsidTr="668275B5" w14:paraId="6DD66A8B" w14:textId="77777777">
        <w:tc>
          <w:tcPr>
            <w:tcW w:w="650" w:type="pct"/>
            <w:tcBorders/>
            <w:tcMar>
              <w:top w:w="75" w:type="dxa"/>
              <w:left w:w="75" w:type="dxa"/>
              <w:bottom w:w="75" w:type="dxa"/>
              <w:right w:w="75" w:type="dxa"/>
            </w:tcMar>
            <w:hideMark/>
          </w:tcPr>
          <w:p w:rsidR="00A3125E" w:rsidRDefault="00A3125E" w14:paraId="556A25A0" w14:textId="77777777">
            <w:pPr>
              <w:rPr>
                <w:rFonts w:ascii="Calibri" w:hAnsi="Calibri" w:eastAsia="Times New Roman" w:cs="Calibri"/>
                <w:b/>
                <w:bCs/>
                <w:sz w:val="20"/>
                <w:szCs w:val="20"/>
              </w:rPr>
            </w:pPr>
            <w:r>
              <w:rPr>
                <w:rFonts w:ascii="Calibri" w:hAnsi="Calibri" w:eastAsia="Times New Roman" w:cs="Calibri"/>
                <w:b/>
                <w:bCs/>
                <w:sz w:val="20"/>
                <w:szCs w:val="20"/>
              </w:rPr>
              <w:t>Sprint</w:t>
            </w:r>
          </w:p>
        </w:tc>
        <w:tc>
          <w:tcPr>
            <w:tcW w:w="400" w:type="pct"/>
            <w:tcBorders/>
            <w:tcMar>
              <w:top w:w="75" w:type="dxa"/>
              <w:left w:w="75" w:type="dxa"/>
              <w:bottom w:w="75" w:type="dxa"/>
              <w:right w:w="75" w:type="dxa"/>
            </w:tcMar>
            <w:hideMark/>
          </w:tcPr>
          <w:p w:rsidR="00A3125E" w:rsidRDefault="00A3125E" w14:paraId="64325BE4" w14:textId="77777777">
            <w:pPr>
              <w:rPr>
                <w:rFonts w:ascii="Calibri" w:hAnsi="Calibri" w:eastAsia="Times New Roman" w:cs="Calibri"/>
                <w:b/>
                <w:bCs/>
                <w:sz w:val="20"/>
                <w:szCs w:val="20"/>
              </w:rPr>
            </w:pPr>
            <w:r>
              <w:rPr>
                <w:rFonts w:ascii="Calibri" w:hAnsi="Calibri" w:eastAsia="Times New Roman" w:cs="Calibri"/>
                <w:b/>
                <w:bCs/>
                <w:sz w:val="20"/>
                <w:szCs w:val="20"/>
              </w:rPr>
              <w:t>Weeks</w:t>
            </w:r>
          </w:p>
        </w:tc>
        <w:tc>
          <w:tcPr>
            <w:tcW w:w="1000" w:type="pct"/>
            <w:tcBorders/>
            <w:tcMar>
              <w:top w:w="75" w:type="dxa"/>
              <w:left w:w="75" w:type="dxa"/>
              <w:bottom w:w="75" w:type="dxa"/>
              <w:right w:w="75" w:type="dxa"/>
            </w:tcMar>
            <w:hideMark/>
          </w:tcPr>
          <w:p w:rsidR="00A3125E" w:rsidRDefault="00A3125E" w14:paraId="7AFC21D3" w14:textId="77777777">
            <w:pPr>
              <w:rPr>
                <w:rFonts w:ascii="Calibri" w:hAnsi="Calibri" w:eastAsia="Times New Roman" w:cs="Calibri"/>
                <w:b/>
                <w:bCs/>
                <w:sz w:val="20"/>
                <w:szCs w:val="20"/>
              </w:rPr>
            </w:pPr>
            <w:r>
              <w:rPr>
                <w:rFonts w:ascii="Calibri" w:hAnsi="Calibri" w:eastAsia="Times New Roman" w:cs="Calibri"/>
                <w:b/>
                <w:bCs/>
                <w:sz w:val="20"/>
                <w:szCs w:val="20"/>
              </w:rPr>
              <w:t>Requirements</w:t>
            </w:r>
          </w:p>
        </w:tc>
        <w:tc>
          <w:tcPr>
            <w:tcW w:w="0" w:type="auto"/>
            <w:tcBorders/>
            <w:tcMar>
              <w:top w:w="75" w:type="dxa"/>
              <w:left w:w="75" w:type="dxa"/>
              <w:bottom w:w="75" w:type="dxa"/>
              <w:right w:w="75" w:type="dxa"/>
            </w:tcMar>
            <w:hideMark/>
          </w:tcPr>
          <w:p w:rsidR="00A3125E" w:rsidRDefault="00A3125E" w14:paraId="35AAA05A" w14:textId="77777777">
            <w:pPr>
              <w:rPr>
                <w:rFonts w:ascii="Calibri" w:hAnsi="Calibri" w:eastAsia="Times New Roman" w:cs="Calibri"/>
                <w:b/>
                <w:bCs/>
                <w:sz w:val="20"/>
                <w:szCs w:val="20"/>
              </w:rPr>
            </w:pPr>
            <w:r>
              <w:rPr>
                <w:rFonts w:ascii="Calibri" w:hAnsi="Calibri" w:eastAsia="Times New Roman" w:cs="Calibri"/>
                <w:b/>
                <w:bCs/>
                <w:sz w:val="20"/>
                <w:szCs w:val="20"/>
              </w:rPr>
              <w:t>Key Outcomes</w:t>
            </w:r>
          </w:p>
        </w:tc>
      </w:tr>
      <w:tr w:rsidR="00E77DC6" w:rsidTr="668275B5" w14:paraId="2CC11D37" w14:textId="77777777">
        <w:tc>
          <w:tcPr>
            <w:tcW w:w="0" w:type="auto"/>
            <w:tcBorders/>
            <w:tcMar>
              <w:top w:w="75" w:type="dxa"/>
              <w:left w:w="75" w:type="dxa"/>
              <w:bottom w:w="75" w:type="dxa"/>
              <w:right w:w="75" w:type="dxa"/>
            </w:tcMar>
            <w:hideMark/>
          </w:tcPr>
          <w:p w:rsidR="00A3125E" w:rsidRDefault="00A3125E" w14:paraId="55C24C22" w14:textId="77777777">
            <w:pPr>
              <w:rPr>
                <w:rFonts w:ascii="Calibri" w:hAnsi="Calibri" w:eastAsia="Times New Roman" w:cs="Calibri"/>
                <w:sz w:val="20"/>
                <w:szCs w:val="20"/>
              </w:rPr>
            </w:pPr>
            <w:r>
              <w:rPr>
                <w:rStyle w:val="Strong"/>
                <w:rFonts w:ascii="Calibri" w:hAnsi="Calibri" w:eastAsia="Times New Roman" w:cs="Calibri"/>
                <w:sz w:val="20"/>
                <w:szCs w:val="20"/>
              </w:rPr>
              <w:t>0</w:t>
            </w:r>
            <w:r>
              <w:rPr>
                <w:rFonts w:ascii="Calibri" w:hAnsi="Calibri" w:eastAsia="Times New Roman" w:cs="Calibri"/>
                <w:sz w:val="20"/>
                <w:szCs w:val="20"/>
              </w:rPr>
              <w:t xml:space="preserve"> Inception</w:t>
            </w:r>
          </w:p>
        </w:tc>
        <w:tc>
          <w:tcPr>
            <w:tcW w:w="0" w:type="auto"/>
            <w:tcBorders/>
            <w:tcMar>
              <w:top w:w="75" w:type="dxa"/>
              <w:left w:w="75" w:type="dxa"/>
              <w:bottom w:w="75" w:type="dxa"/>
              <w:right w:w="75" w:type="dxa"/>
            </w:tcMar>
            <w:hideMark/>
          </w:tcPr>
          <w:p w:rsidR="00A3125E" w:rsidRDefault="00A3125E" w14:paraId="19EF9516" w14:textId="77777777">
            <w:pPr>
              <w:rPr>
                <w:rFonts w:ascii="Calibri" w:hAnsi="Calibri" w:eastAsia="Times New Roman" w:cs="Calibri"/>
                <w:sz w:val="20"/>
                <w:szCs w:val="20"/>
              </w:rPr>
            </w:pPr>
            <w:r>
              <w:rPr>
                <w:rFonts w:ascii="Calibri" w:hAnsi="Calibri" w:eastAsia="Times New Roman" w:cs="Calibri"/>
                <w:sz w:val="20"/>
                <w:szCs w:val="20"/>
              </w:rPr>
              <w:t>1–2</w:t>
            </w:r>
          </w:p>
        </w:tc>
        <w:tc>
          <w:tcPr>
            <w:tcW w:w="0" w:type="auto"/>
            <w:tcBorders/>
            <w:tcMar>
              <w:top w:w="75" w:type="dxa"/>
              <w:left w:w="75" w:type="dxa"/>
              <w:bottom w:w="75" w:type="dxa"/>
              <w:right w:w="75" w:type="dxa"/>
            </w:tcMar>
            <w:hideMark/>
          </w:tcPr>
          <w:p w:rsidR="00A3125E" w:rsidRDefault="00A3125E" w14:paraId="17373394" w14:textId="77777777">
            <w:pPr>
              <w:rPr>
                <w:rFonts w:ascii="Calibri" w:hAnsi="Calibri" w:eastAsia="Times New Roman" w:cs="Calibri"/>
                <w:sz w:val="20"/>
                <w:szCs w:val="20"/>
              </w:rPr>
            </w:pPr>
            <w:r>
              <w:rPr>
                <w:rFonts w:ascii="Calibri" w:hAnsi="Calibri" w:eastAsia="Times New Roman" w:cs="Calibri"/>
                <w:sz w:val="20"/>
                <w:szCs w:val="20"/>
              </w:rPr>
              <w:t>Planning deliverables</w:t>
            </w:r>
          </w:p>
        </w:tc>
        <w:tc>
          <w:tcPr>
            <w:tcW w:w="0" w:type="auto"/>
            <w:tcBorders/>
            <w:tcMar>
              <w:top w:w="75" w:type="dxa"/>
              <w:left w:w="75" w:type="dxa"/>
              <w:bottom w:w="75" w:type="dxa"/>
              <w:right w:w="75" w:type="dxa"/>
            </w:tcMar>
            <w:hideMark/>
          </w:tcPr>
          <w:p w:rsidR="00A3125E" w:rsidRDefault="00DE29B2" w14:paraId="3BC26C4A" w14:textId="6CCD69EC">
            <w:pPr>
              <w:rPr>
                <w:rFonts w:ascii="Calibri" w:hAnsi="Calibri" w:eastAsia="Times New Roman" w:cs="Calibri"/>
                <w:sz w:val="20"/>
                <w:szCs w:val="20"/>
              </w:rPr>
            </w:pPr>
            <w:r w:rsidRPr="00DE29B2">
              <w:rPr>
                <w:rFonts w:ascii="Calibri" w:hAnsi="Calibri" w:eastAsia="Times New Roman" w:cs="Calibri"/>
                <w:sz w:val="20"/>
                <w:szCs w:val="20"/>
              </w:rPr>
              <w:t xml:space="preserve">Requirements catalogue, WBS and Gantt chart, risk register and interim SRS report; XAMPP or </w:t>
            </w:r>
            <w:proofErr w:type="spellStart"/>
            <w:r w:rsidRPr="00DE29B2">
              <w:rPr>
                <w:rFonts w:ascii="Calibri" w:hAnsi="Calibri" w:eastAsia="Times New Roman" w:cs="Calibri"/>
                <w:sz w:val="20"/>
                <w:szCs w:val="20"/>
              </w:rPr>
              <w:t>Laragon</w:t>
            </w:r>
            <w:proofErr w:type="spellEnd"/>
            <w:r w:rsidRPr="00DE29B2">
              <w:rPr>
                <w:rFonts w:ascii="Calibri" w:hAnsi="Calibri" w:eastAsia="Times New Roman" w:cs="Calibri"/>
                <w:sz w:val="20"/>
                <w:szCs w:val="20"/>
              </w:rPr>
              <w:t xml:space="preserve"> environment has been set up and repository and backlog have been created.</w:t>
            </w:r>
          </w:p>
        </w:tc>
      </w:tr>
      <w:tr w:rsidR="00E77DC6" w:rsidTr="668275B5" w14:paraId="7D181EA3" w14:textId="77777777">
        <w:tc>
          <w:tcPr>
            <w:tcW w:w="0" w:type="auto"/>
            <w:tcBorders/>
            <w:tcMar>
              <w:top w:w="75" w:type="dxa"/>
              <w:left w:w="75" w:type="dxa"/>
              <w:bottom w:w="75" w:type="dxa"/>
              <w:right w:w="75" w:type="dxa"/>
            </w:tcMar>
            <w:hideMark/>
          </w:tcPr>
          <w:p w:rsidR="00A3125E" w:rsidRDefault="00A3125E" w14:paraId="078A81A7" w14:textId="77777777">
            <w:pPr>
              <w:rPr>
                <w:rFonts w:ascii="Calibri" w:hAnsi="Calibri" w:eastAsia="Times New Roman" w:cs="Calibri"/>
                <w:sz w:val="20"/>
                <w:szCs w:val="20"/>
              </w:rPr>
            </w:pPr>
            <w:r>
              <w:rPr>
                <w:rStyle w:val="Strong"/>
                <w:rFonts w:ascii="Calibri" w:hAnsi="Calibri" w:eastAsia="Times New Roman" w:cs="Calibri"/>
                <w:sz w:val="20"/>
                <w:szCs w:val="20"/>
              </w:rPr>
              <w:t>1</w:t>
            </w:r>
            <w:r>
              <w:rPr>
                <w:rFonts w:ascii="Calibri" w:hAnsi="Calibri" w:eastAsia="Times New Roman" w:cs="Calibri"/>
                <w:sz w:val="20"/>
                <w:szCs w:val="20"/>
              </w:rPr>
              <w:t xml:space="preserve"> Foundation and Security</w:t>
            </w:r>
          </w:p>
        </w:tc>
        <w:tc>
          <w:tcPr>
            <w:tcW w:w="0" w:type="auto"/>
            <w:tcBorders/>
            <w:tcMar>
              <w:top w:w="75" w:type="dxa"/>
              <w:left w:w="75" w:type="dxa"/>
              <w:bottom w:w="75" w:type="dxa"/>
              <w:right w:w="75" w:type="dxa"/>
            </w:tcMar>
            <w:hideMark/>
          </w:tcPr>
          <w:p w:rsidR="00A3125E" w:rsidRDefault="00A3125E" w14:paraId="679C9FC2" w14:textId="77777777">
            <w:pPr>
              <w:rPr>
                <w:rFonts w:ascii="Calibri" w:hAnsi="Calibri" w:eastAsia="Times New Roman" w:cs="Calibri"/>
                <w:sz w:val="20"/>
                <w:szCs w:val="20"/>
              </w:rPr>
            </w:pPr>
            <w:r>
              <w:rPr>
                <w:rFonts w:ascii="Calibri" w:hAnsi="Calibri" w:eastAsia="Times New Roman" w:cs="Calibri"/>
                <w:sz w:val="20"/>
                <w:szCs w:val="20"/>
              </w:rPr>
              <w:t>3–4</w:t>
            </w:r>
          </w:p>
        </w:tc>
        <w:tc>
          <w:tcPr>
            <w:tcW w:w="0" w:type="auto"/>
            <w:tcBorders/>
            <w:tcMar>
              <w:top w:w="75" w:type="dxa"/>
              <w:left w:w="75" w:type="dxa"/>
              <w:bottom w:w="75" w:type="dxa"/>
              <w:right w:w="75" w:type="dxa"/>
            </w:tcMar>
            <w:hideMark/>
          </w:tcPr>
          <w:p w:rsidR="00A3125E" w:rsidRDefault="00A3125E" w14:paraId="7EA9C93D" w14:textId="77777777">
            <w:pPr>
              <w:rPr>
                <w:rFonts w:ascii="Calibri" w:hAnsi="Calibri" w:eastAsia="Times New Roman" w:cs="Calibri"/>
                <w:sz w:val="20"/>
                <w:szCs w:val="20"/>
              </w:rPr>
            </w:pPr>
            <w:r>
              <w:rPr>
                <w:rFonts w:ascii="Calibri" w:hAnsi="Calibri" w:eastAsia="Times New Roman" w:cs="Calibri"/>
                <w:sz w:val="20"/>
                <w:szCs w:val="20"/>
              </w:rPr>
              <w:t>FR01–FR08; NFR6–NFR8, NFR11, NFR12</w:t>
            </w:r>
          </w:p>
        </w:tc>
        <w:tc>
          <w:tcPr>
            <w:tcW w:w="0" w:type="auto"/>
            <w:tcBorders/>
            <w:tcMar>
              <w:top w:w="75" w:type="dxa"/>
              <w:left w:w="75" w:type="dxa"/>
              <w:bottom w:w="75" w:type="dxa"/>
              <w:right w:w="75" w:type="dxa"/>
            </w:tcMar>
            <w:hideMark/>
          </w:tcPr>
          <w:p w:rsidR="00A3125E" w:rsidRDefault="00DE29B2" w14:paraId="529A1B5A" w14:textId="69E9353B">
            <w:pPr>
              <w:rPr>
                <w:rFonts w:ascii="Calibri" w:hAnsi="Calibri" w:eastAsia="Times New Roman" w:cs="Calibri"/>
                <w:sz w:val="20"/>
                <w:szCs w:val="20"/>
              </w:rPr>
            </w:pPr>
            <w:r w:rsidRPr="00DE29B2">
              <w:rPr>
                <w:rFonts w:ascii="Calibri" w:hAnsi="Calibri" w:eastAsia="Times New Roman" w:cs="Calibri"/>
                <w:sz w:val="20"/>
                <w:szCs w:val="20"/>
              </w:rPr>
              <w:t>This is sprint one of the MVC skeleton, which includes registration, email verification and login/</w:t>
            </w:r>
            <w:proofErr w:type="gramStart"/>
            <w:r w:rsidRPr="00DE29B2">
              <w:rPr>
                <w:rFonts w:ascii="Calibri" w:hAnsi="Calibri" w:eastAsia="Times New Roman" w:cs="Calibri"/>
                <w:sz w:val="20"/>
                <w:szCs w:val="20"/>
              </w:rPr>
              <w:t>role based</w:t>
            </w:r>
            <w:proofErr w:type="gramEnd"/>
            <w:r w:rsidRPr="00DE29B2">
              <w:rPr>
                <w:rFonts w:ascii="Calibri" w:hAnsi="Calibri" w:eastAsia="Times New Roman" w:cs="Calibri"/>
                <w:sz w:val="20"/>
                <w:szCs w:val="20"/>
              </w:rPr>
              <w:t xml:space="preserve"> access for customer, staff, driver and admin user types; account management; </w:t>
            </w:r>
            <w:proofErr w:type="spellStart"/>
            <w:r w:rsidRPr="00DE29B2">
              <w:rPr>
                <w:rFonts w:ascii="Calibri" w:hAnsi="Calibri" w:eastAsia="Times New Roman" w:cs="Calibri"/>
                <w:sz w:val="20"/>
                <w:szCs w:val="20"/>
              </w:rPr>
              <w:t>bcrypt</w:t>
            </w:r>
            <w:proofErr w:type="spellEnd"/>
            <w:r w:rsidRPr="00DE29B2">
              <w:rPr>
                <w:rFonts w:ascii="Calibri" w:hAnsi="Calibri" w:eastAsia="Times New Roman" w:cs="Calibri"/>
                <w:sz w:val="20"/>
                <w:szCs w:val="20"/>
              </w:rPr>
              <w:t xml:space="preserve"> hashing and site-wide HTTPS.</w:t>
            </w:r>
          </w:p>
        </w:tc>
      </w:tr>
      <w:tr w:rsidR="00E77DC6" w:rsidTr="668275B5" w14:paraId="3643A598" w14:textId="77777777">
        <w:tc>
          <w:tcPr>
            <w:tcW w:w="0" w:type="auto"/>
            <w:tcBorders/>
            <w:tcMar>
              <w:top w:w="75" w:type="dxa"/>
              <w:left w:w="75" w:type="dxa"/>
              <w:bottom w:w="75" w:type="dxa"/>
              <w:right w:w="75" w:type="dxa"/>
            </w:tcMar>
            <w:hideMark/>
          </w:tcPr>
          <w:p w:rsidR="00A3125E" w:rsidRDefault="00A3125E" w14:paraId="215C5657" w14:textId="77777777">
            <w:pPr>
              <w:rPr>
                <w:rFonts w:ascii="Calibri" w:hAnsi="Calibri" w:eastAsia="Times New Roman" w:cs="Calibri"/>
                <w:sz w:val="20"/>
                <w:szCs w:val="20"/>
              </w:rPr>
            </w:pPr>
            <w:r>
              <w:rPr>
                <w:rStyle w:val="Strong"/>
                <w:rFonts w:ascii="Calibri" w:hAnsi="Calibri" w:eastAsia="Times New Roman" w:cs="Calibri"/>
                <w:sz w:val="20"/>
                <w:szCs w:val="20"/>
              </w:rPr>
              <w:t>2</w:t>
            </w:r>
            <w:r>
              <w:rPr>
                <w:rFonts w:ascii="Calibri" w:hAnsi="Calibri" w:eastAsia="Times New Roman" w:cs="Calibri"/>
                <w:sz w:val="20"/>
                <w:szCs w:val="20"/>
              </w:rPr>
              <w:t xml:space="preserve"> Service Configuration</w:t>
            </w:r>
          </w:p>
        </w:tc>
        <w:tc>
          <w:tcPr>
            <w:tcW w:w="0" w:type="auto"/>
            <w:tcBorders/>
            <w:tcMar>
              <w:top w:w="75" w:type="dxa"/>
              <w:left w:w="75" w:type="dxa"/>
              <w:bottom w:w="75" w:type="dxa"/>
              <w:right w:w="75" w:type="dxa"/>
            </w:tcMar>
            <w:hideMark/>
          </w:tcPr>
          <w:p w:rsidR="00A3125E" w:rsidRDefault="00A3125E" w14:paraId="6E691CA6" w14:textId="77777777">
            <w:pPr>
              <w:rPr>
                <w:rFonts w:ascii="Calibri" w:hAnsi="Calibri" w:eastAsia="Times New Roman" w:cs="Calibri"/>
                <w:sz w:val="20"/>
                <w:szCs w:val="20"/>
              </w:rPr>
            </w:pPr>
            <w:r>
              <w:rPr>
                <w:rFonts w:ascii="Calibri" w:hAnsi="Calibri" w:eastAsia="Times New Roman" w:cs="Calibri"/>
                <w:sz w:val="20"/>
                <w:szCs w:val="20"/>
              </w:rPr>
              <w:t>5–6</w:t>
            </w:r>
          </w:p>
        </w:tc>
        <w:tc>
          <w:tcPr>
            <w:tcW w:w="0" w:type="auto"/>
            <w:tcBorders/>
            <w:tcMar>
              <w:top w:w="75" w:type="dxa"/>
              <w:left w:w="75" w:type="dxa"/>
              <w:bottom w:w="75" w:type="dxa"/>
              <w:right w:w="75" w:type="dxa"/>
            </w:tcMar>
            <w:hideMark/>
          </w:tcPr>
          <w:p w:rsidR="00A3125E" w:rsidRDefault="00A3125E" w14:paraId="517CEC5D" w14:textId="77777777">
            <w:pPr>
              <w:rPr>
                <w:rFonts w:ascii="Calibri" w:hAnsi="Calibri" w:eastAsia="Times New Roman" w:cs="Calibri"/>
                <w:sz w:val="20"/>
                <w:szCs w:val="20"/>
              </w:rPr>
            </w:pPr>
            <w:r>
              <w:rPr>
                <w:rFonts w:ascii="Calibri" w:hAnsi="Calibri" w:eastAsia="Times New Roman" w:cs="Calibri"/>
                <w:sz w:val="20"/>
                <w:szCs w:val="20"/>
              </w:rPr>
              <w:t>FR09–FR17; NFR9, NFR10</w:t>
            </w:r>
          </w:p>
        </w:tc>
        <w:tc>
          <w:tcPr>
            <w:tcW w:w="0" w:type="auto"/>
            <w:tcBorders/>
            <w:tcMar>
              <w:top w:w="75" w:type="dxa"/>
              <w:left w:w="75" w:type="dxa"/>
              <w:bottom w:w="75" w:type="dxa"/>
              <w:right w:w="75" w:type="dxa"/>
            </w:tcMar>
            <w:hideMark/>
          </w:tcPr>
          <w:p w:rsidR="00A3125E" w:rsidRDefault="00DE29B2" w14:paraId="40848088" w14:textId="0BA42BFC">
            <w:pPr>
              <w:rPr>
                <w:rFonts w:ascii="Calibri" w:hAnsi="Calibri" w:eastAsia="Times New Roman" w:cs="Calibri"/>
                <w:sz w:val="20"/>
                <w:szCs w:val="20"/>
              </w:rPr>
            </w:pPr>
            <w:r w:rsidRPr="00DE29B2">
              <w:rPr>
                <w:rFonts w:ascii="Calibri" w:hAnsi="Calibri" w:eastAsia="Times New Roman" w:cs="Calibri"/>
                <w:sz w:val="20"/>
                <w:szCs w:val="20"/>
              </w:rPr>
              <w:t>Storage locations and selection of branches and providers to upload documents; classification of waste and type of bin; add validation to prevent hazardous waste from being added to regular bins; responsive WCAG 2.1 AA Base templates</w:t>
            </w:r>
            <w:r w:rsidR="00A3125E">
              <w:rPr>
                <w:rFonts w:ascii="Calibri" w:hAnsi="Calibri" w:eastAsia="Times New Roman" w:cs="Calibri"/>
                <w:sz w:val="20"/>
                <w:szCs w:val="20"/>
              </w:rPr>
              <w:t>.</w:t>
            </w:r>
          </w:p>
        </w:tc>
      </w:tr>
      <w:tr w:rsidR="00E77DC6" w:rsidTr="668275B5" w14:paraId="5FF30A5E" w14:textId="77777777">
        <w:tc>
          <w:tcPr>
            <w:tcW w:w="0" w:type="auto"/>
            <w:tcBorders/>
            <w:tcMar>
              <w:top w:w="75" w:type="dxa"/>
              <w:left w:w="75" w:type="dxa"/>
              <w:bottom w:w="75" w:type="dxa"/>
              <w:right w:w="75" w:type="dxa"/>
            </w:tcMar>
            <w:hideMark/>
          </w:tcPr>
          <w:p w:rsidR="00A3125E" w:rsidRDefault="00A3125E" w14:paraId="5C3476EF" w14:textId="77777777">
            <w:pPr>
              <w:rPr>
                <w:rFonts w:ascii="Calibri" w:hAnsi="Calibri" w:eastAsia="Times New Roman" w:cs="Calibri"/>
                <w:sz w:val="20"/>
                <w:szCs w:val="20"/>
              </w:rPr>
            </w:pPr>
            <w:r>
              <w:rPr>
                <w:rStyle w:val="Strong"/>
                <w:rFonts w:ascii="Calibri" w:hAnsi="Calibri" w:eastAsia="Times New Roman" w:cs="Calibri"/>
                <w:sz w:val="20"/>
                <w:szCs w:val="20"/>
              </w:rPr>
              <w:t>3</w:t>
            </w:r>
            <w:r>
              <w:rPr>
                <w:rFonts w:ascii="Calibri" w:hAnsi="Calibri" w:eastAsia="Times New Roman" w:cs="Calibri"/>
                <w:sz w:val="20"/>
                <w:szCs w:val="20"/>
              </w:rPr>
              <w:t xml:space="preserve"> Booking and Scheduling</w:t>
            </w:r>
          </w:p>
        </w:tc>
        <w:tc>
          <w:tcPr>
            <w:tcW w:w="0" w:type="auto"/>
            <w:tcBorders/>
            <w:tcMar>
              <w:top w:w="75" w:type="dxa"/>
              <w:left w:w="75" w:type="dxa"/>
              <w:bottom w:w="75" w:type="dxa"/>
              <w:right w:w="75" w:type="dxa"/>
            </w:tcMar>
            <w:hideMark/>
          </w:tcPr>
          <w:p w:rsidR="00A3125E" w:rsidRDefault="00A3125E" w14:paraId="63C389EF" w14:textId="77777777">
            <w:pPr>
              <w:rPr>
                <w:rFonts w:ascii="Calibri" w:hAnsi="Calibri" w:eastAsia="Times New Roman" w:cs="Calibri"/>
                <w:sz w:val="20"/>
                <w:szCs w:val="20"/>
              </w:rPr>
            </w:pPr>
            <w:r>
              <w:rPr>
                <w:rFonts w:ascii="Calibri" w:hAnsi="Calibri" w:eastAsia="Times New Roman" w:cs="Calibri"/>
                <w:sz w:val="20"/>
                <w:szCs w:val="20"/>
              </w:rPr>
              <w:t>7–8</w:t>
            </w:r>
          </w:p>
        </w:tc>
        <w:tc>
          <w:tcPr>
            <w:tcW w:w="0" w:type="auto"/>
            <w:tcBorders/>
            <w:tcMar>
              <w:top w:w="75" w:type="dxa"/>
              <w:left w:w="75" w:type="dxa"/>
              <w:bottom w:w="75" w:type="dxa"/>
              <w:right w:w="75" w:type="dxa"/>
            </w:tcMar>
            <w:hideMark/>
          </w:tcPr>
          <w:p w:rsidR="00A3125E" w:rsidRDefault="00A3125E" w14:paraId="5F8F913B" w14:textId="77777777">
            <w:pPr>
              <w:rPr>
                <w:rFonts w:ascii="Calibri" w:hAnsi="Calibri" w:eastAsia="Times New Roman" w:cs="Calibri"/>
                <w:sz w:val="20"/>
                <w:szCs w:val="20"/>
              </w:rPr>
            </w:pPr>
            <w:r>
              <w:rPr>
                <w:rFonts w:ascii="Calibri" w:hAnsi="Calibri" w:eastAsia="Times New Roman" w:cs="Calibri"/>
                <w:sz w:val="20"/>
                <w:szCs w:val="20"/>
              </w:rPr>
              <w:t>FR18–FR26; NFR1, NFR5</w:t>
            </w:r>
          </w:p>
        </w:tc>
        <w:tc>
          <w:tcPr>
            <w:tcW w:w="0" w:type="auto"/>
            <w:tcBorders/>
            <w:tcMar>
              <w:top w:w="75" w:type="dxa"/>
              <w:left w:w="75" w:type="dxa"/>
              <w:bottom w:w="75" w:type="dxa"/>
              <w:right w:w="75" w:type="dxa"/>
            </w:tcMar>
            <w:hideMark/>
          </w:tcPr>
          <w:p w:rsidR="00A3125E" w:rsidRDefault="00DE29B2" w14:paraId="21C3647E" w14:textId="5651BF7E">
            <w:pPr>
              <w:rPr>
                <w:rFonts w:ascii="Calibri" w:hAnsi="Calibri" w:eastAsia="Times New Roman" w:cs="Calibri"/>
                <w:sz w:val="20"/>
                <w:szCs w:val="20"/>
              </w:rPr>
            </w:pPr>
            <w:r w:rsidRPr="00DE29B2">
              <w:rPr>
                <w:rFonts w:ascii="Calibri" w:hAnsi="Calibri" w:eastAsia="Times New Roman" w:cs="Calibri"/>
                <w:sz w:val="20"/>
                <w:szCs w:val="20"/>
              </w:rPr>
              <w:t>One-time &amp; recurring pickups, estimated cost prior to booking, staff approval, rescheduling, status tracking, conflict avoidance; tests performed on page loading within the 3 second mark.</w:t>
            </w:r>
          </w:p>
        </w:tc>
      </w:tr>
      <w:tr w:rsidR="00E77DC6" w:rsidTr="668275B5" w14:paraId="5E9869FA" w14:textId="77777777">
        <w:tc>
          <w:tcPr>
            <w:tcW w:w="0" w:type="auto"/>
            <w:tcBorders/>
            <w:tcMar>
              <w:top w:w="75" w:type="dxa"/>
              <w:left w:w="75" w:type="dxa"/>
              <w:bottom w:w="75" w:type="dxa"/>
              <w:right w:w="75" w:type="dxa"/>
            </w:tcMar>
            <w:hideMark/>
          </w:tcPr>
          <w:p w:rsidR="00A3125E" w:rsidRDefault="00A3125E" w14:paraId="09E194C3" w14:textId="77777777">
            <w:pPr>
              <w:rPr>
                <w:rFonts w:ascii="Calibri" w:hAnsi="Calibri" w:eastAsia="Times New Roman" w:cs="Calibri"/>
                <w:sz w:val="20"/>
                <w:szCs w:val="20"/>
              </w:rPr>
            </w:pPr>
            <w:r>
              <w:rPr>
                <w:rStyle w:val="Strong"/>
                <w:rFonts w:ascii="Calibri" w:hAnsi="Calibri" w:eastAsia="Times New Roman" w:cs="Calibri"/>
                <w:sz w:val="20"/>
                <w:szCs w:val="20"/>
              </w:rPr>
              <w:t>4</w:t>
            </w:r>
            <w:r>
              <w:rPr>
                <w:rFonts w:ascii="Calibri" w:hAnsi="Calibri" w:eastAsia="Times New Roman" w:cs="Calibri"/>
                <w:sz w:val="20"/>
                <w:szCs w:val="20"/>
              </w:rPr>
              <w:t xml:space="preserve"> Dispatch and Mapping</w:t>
            </w:r>
          </w:p>
        </w:tc>
        <w:tc>
          <w:tcPr>
            <w:tcW w:w="0" w:type="auto"/>
            <w:tcBorders/>
            <w:tcMar>
              <w:top w:w="75" w:type="dxa"/>
              <w:left w:w="75" w:type="dxa"/>
              <w:bottom w:w="75" w:type="dxa"/>
              <w:right w:w="75" w:type="dxa"/>
            </w:tcMar>
            <w:hideMark/>
          </w:tcPr>
          <w:p w:rsidR="00A3125E" w:rsidRDefault="00A3125E" w14:paraId="2E14C3CC" w14:textId="77777777">
            <w:pPr>
              <w:rPr>
                <w:rFonts w:ascii="Calibri" w:hAnsi="Calibri" w:eastAsia="Times New Roman" w:cs="Calibri"/>
                <w:sz w:val="20"/>
                <w:szCs w:val="20"/>
              </w:rPr>
            </w:pPr>
            <w:r>
              <w:rPr>
                <w:rFonts w:ascii="Calibri" w:hAnsi="Calibri" w:eastAsia="Times New Roman" w:cs="Calibri"/>
                <w:sz w:val="20"/>
                <w:szCs w:val="20"/>
              </w:rPr>
              <w:t>9–10</w:t>
            </w:r>
          </w:p>
        </w:tc>
        <w:tc>
          <w:tcPr>
            <w:tcW w:w="0" w:type="auto"/>
            <w:tcBorders/>
            <w:tcMar>
              <w:top w:w="75" w:type="dxa"/>
              <w:left w:w="75" w:type="dxa"/>
              <w:bottom w:w="75" w:type="dxa"/>
              <w:right w:w="75" w:type="dxa"/>
            </w:tcMar>
            <w:hideMark/>
          </w:tcPr>
          <w:p w:rsidR="00A3125E" w:rsidRDefault="00A3125E" w14:paraId="6DA84378" w14:textId="77777777">
            <w:pPr>
              <w:rPr>
                <w:rFonts w:ascii="Calibri" w:hAnsi="Calibri" w:eastAsia="Times New Roman" w:cs="Calibri"/>
                <w:sz w:val="20"/>
                <w:szCs w:val="20"/>
              </w:rPr>
            </w:pPr>
            <w:r>
              <w:rPr>
                <w:rFonts w:ascii="Calibri" w:hAnsi="Calibri" w:eastAsia="Times New Roman" w:cs="Calibri"/>
                <w:sz w:val="20"/>
                <w:szCs w:val="20"/>
              </w:rPr>
              <w:t>FR27–FR36; NFR2, NFR3</w:t>
            </w:r>
          </w:p>
        </w:tc>
        <w:tc>
          <w:tcPr>
            <w:tcW w:w="0" w:type="auto"/>
            <w:tcBorders/>
            <w:tcMar>
              <w:top w:w="75" w:type="dxa"/>
              <w:left w:w="75" w:type="dxa"/>
              <w:bottom w:w="75" w:type="dxa"/>
              <w:right w:w="75" w:type="dxa"/>
            </w:tcMar>
            <w:hideMark/>
          </w:tcPr>
          <w:p w:rsidR="00A3125E" w:rsidRDefault="00DE29B2" w14:paraId="6B31550B" w14:textId="73751DCF">
            <w:pPr>
              <w:rPr>
                <w:rFonts w:ascii="Calibri" w:hAnsi="Calibri" w:eastAsia="Times New Roman" w:cs="Calibri"/>
                <w:sz w:val="20"/>
                <w:szCs w:val="20"/>
              </w:rPr>
            </w:pPr>
            <w:r w:rsidRPr="00DE29B2">
              <w:rPr>
                <w:rFonts w:ascii="Calibri" w:hAnsi="Calibri" w:eastAsia="Times New Roman" w:cs="Calibri"/>
                <w:sz w:val="20"/>
                <w:szCs w:val="20"/>
              </w:rPr>
              <w:t>Truck and driver records, assignment and capacity validation, driver daily schedule and status update, map view and optimized routes, 100 user load testing. Week 10: Reviewing code with other people (from a developer who does not write the module) based on OWASP Top 10.</w:t>
            </w:r>
          </w:p>
        </w:tc>
      </w:tr>
      <w:tr w:rsidR="00E77DC6" w:rsidTr="668275B5" w14:paraId="065B7D15" w14:textId="77777777">
        <w:tc>
          <w:tcPr>
            <w:tcW w:w="0" w:type="auto"/>
            <w:tcBorders/>
            <w:tcMar>
              <w:top w:w="75" w:type="dxa"/>
              <w:left w:w="75" w:type="dxa"/>
              <w:bottom w:w="75" w:type="dxa"/>
              <w:right w:w="75" w:type="dxa"/>
            </w:tcMar>
            <w:hideMark/>
          </w:tcPr>
          <w:p w:rsidR="00A3125E" w:rsidRDefault="00A3125E" w14:paraId="182673B7" w14:textId="77777777">
            <w:pPr>
              <w:rPr>
                <w:rFonts w:ascii="Calibri" w:hAnsi="Calibri" w:eastAsia="Times New Roman" w:cs="Calibri"/>
                <w:sz w:val="20"/>
                <w:szCs w:val="20"/>
              </w:rPr>
            </w:pPr>
            <w:r>
              <w:rPr>
                <w:rStyle w:val="Strong"/>
                <w:rFonts w:ascii="Calibri" w:hAnsi="Calibri" w:eastAsia="Times New Roman" w:cs="Calibri"/>
                <w:sz w:val="20"/>
                <w:szCs w:val="20"/>
              </w:rPr>
              <w:t>5</w:t>
            </w:r>
            <w:r>
              <w:rPr>
                <w:rFonts w:ascii="Calibri" w:hAnsi="Calibri" w:eastAsia="Times New Roman" w:cs="Calibri"/>
                <w:sz w:val="20"/>
                <w:szCs w:val="20"/>
              </w:rPr>
              <w:t xml:space="preserve"> Billing and Release</w:t>
            </w:r>
          </w:p>
        </w:tc>
        <w:tc>
          <w:tcPr>
            <w:tcW w:w="0" w:type="auto"/>
            <w:tcBorders/>
            <w:tcMar>
              <w:top w:w="75" w:type="dxa"/>
              <w:left w:w="75" w:type="dxa"/>
              <w:bottom w:w="75" w:type="dxa"/>
              <w:right w:w="75" w:type="dxa"/>
            </w:tcMar>
            <w:hideMark/>
          </w:tcPr>
          <w:p w:rsidR="00A3125E" w:rsidRDefault="00A3125E" w14:paraId="1631E96F" w14:textId="77777777">
            <w:pPr>
              <w:rPr>
                <w:rFonts w:ascii="Calibri" w:hAnsi="Calibri" w:eastAsia="Times New Roman" w:cs="Calibri"/>
                <w:sz w:val="20"/>
                <w:szCs w:val="20"/>
              </w:rPr>
            </w:pPr>
            <w:r>
              <w:rPr>
                <w:rFonts w:ascii="Calibri" w:hAnsi="Calibri" w:eastAsia="Times New Roman" w:cs="Calibri"/>
                <w:sz w:val="20"/>
                <w:szCs w:val="20"/>
              </w:rPr>
              <w:t>11–12</w:t>
            </w:r>
          </w:p>
        </w:tc>
        <w:tc>
          <w:tcPr>
            <w:tcW w:w="0" w:type="auto"/>
            <w:tcBorders/>
            <w:tcMar>
              <w:top w:w="75" w:type="dxa"/>
              <w:left w:w="75" w:type="dxa"/>
              <w:bottom w:w="75" w:type="dxa"/>
              <w:right w:w="75" w:type="dxa"/>
            </w:tcMar>
            <w:hideMark/>
          </w:tcPr>
          <w:p w:rsidR="00A3125E" w:rsidRDefault="00A3125E" w14:paraId="13D4F269" w14:textId="77777777">
            <w:pPr>
              <w:rPr>
                <w:rFonts w:ascii="Calibri" w:hAnsi="Calibri" w:eastAsia="Times New Roman" w:cs="Calibri"/>
                <w:sz w:val="20"/>
                <w:szCs w:val="20"/>
              </w:rPr>
            </w:pPr>
            <w:r>
              <w:rPr>
                <w:rFonts w:ascii="Calibri" w:hAnsi="Calibri" w:eastAsia="Times New Roman" w:cs="Calibri"/>
                <w:sz w:val="20"/>
                <w:szCs w:val="20"/>
              </w:rPr>
              <w:t>FR37–FR49; NFR4, NFR13–NFR15</w:t>
            </w:r>
          </w:p>
        </w:tc>
        <w:tc>
          <w:tcPr>
            <w:tcW w:w="0" w:type="auto"/>
            <w:tcBorders/>
            <w:tcMar>
              <w:top w:w="75" w:type="dxa"/>
              <w:left w:w="75" w:type="dxa"/>
              <w:bottom w:w="75" w:type="dxa"/>
              <w:right w:w="75" w:type="dxa"/>
            </w:tcMar>
            <w:hideMark/>
          </w:tcPr>
          <w:p w:rsidR="00A3125E" w:rsidRDefault="00DE29B2" w14:paraId="6B646AA0" w14:textId="4505AEAE">
            <w:pPr>
              <w:rPr>
                <w:rFonts w:ascii="Calibri" w:hAnsi="Calibri" w:eastAsia="Times New Roman" w:cs="Calibri"/>
                <w:sz w:val="20"/>
                <w:szCs w:val="20"/>
              </w:rPr>
            </w:pPr>
            <w:r w:rsidRPr="00DE29B2">
              <w:rPr>
                <w:rFonts w:ascii="Calibri" w:hAnsi="Calibri" w:eastAsia="Times New Roman" w:cs="Calibri"/>
                <w:sz w:val="20"/>
                <w:szCs w:val="20"/>
              </w:rPr>
              <w:t xml:space="preserve">Invoicing, online payment, transaction log and reminders; notifications and messaging; reporting, export and analytics; service rating. Week 11: backups restored onto a test server and checking the </w:t>
            </w:r>
            <w:r w:rsidRPr="00DE29B2">
              <w:rPr>
                <w:rFonts w:ascii="Calibri" w:hAnsi="Calibri" w:eastAsia="Times New Roman" w:cs="Calibri"/>
                <w:sz w:val="20"/>
                <w:szCs w:val="20"/>
              </w:rPr>
              <w:t>30-minute</w:t>
            </w:r>
            <w:r w:rsidRPr="00DE29B2">
              <w:rPr>
                <w:rFonts w:ascii="Calibri" w:hAnsi="Calibri" w:eastAsia="Times New Roman" w:cs="Calibri"/>
                <w:sz w:val="20"/>
                <w:szCs w:val="20"/>
              </w:rPr>
              <w:t xml:space="preserve"> recovery goal. Week 12: user acceptance testing, deployment, training and handing over.</w:t>
            </w:r>
          </w:p>
        </w:tc>
      </w:tr>
    </w:tbl>
    <w:p w:rsidR="00A3125E" w:rsidP="668275B5" w:rsidRDefault="00A3125E" w14:paraId="7EDA32F7" w14:textId="0E103A06">
      <w:pPr>
        <w:pStyle w:val="Normal"/>
        <w:rPr>
          <w:b w:val="1"/>
          <w:bCs w:val="1"/>
        </w:rPr>
      </w:pPr>
      <w:r w:rsidRPr="668275B5" w:rsidR="15B0FC6B">
        <w:rPr>
          <w:b w:val="1"/>
          <w:bCs w:val="1"/>
        </w:rPr>
        <w:t>7</w:t>
      </w:r>
      <w:r w:rsidRPr="668275B5" w:rsidR="48E5CD06">
        <w:rPr>
          <w:b w:val="1"/>
          <w:bCs w:val="1"/>
        </w:rPr>
        <w:t>.</w:t>
      </w:r>
      <w:r w:rsidRPr="668275B5" w:rsidR="15B0FC6B">
        <w:rPr>
          <w:b w:val="1"/>
          <w:bCs w:val="1"/>
        </w:rPr>
        <w:t xml:space="preserve"> Definition of Done</w:t>
      </w:r>
    </w:p>
    <w:p w:rsidR="00A3125E" w:rsidP="668275B5" w:rsidRDefault="00DE29B2" w14:paraId="13E2319B" w14:textId="179A4B45">
      <w:pPr>
        <w:pStyle w:val="Normal"/>
      </w:pPr>
      <w:r w:rsidR="1D6117C4">
        <w:rPr/>
        <w:t xml:space="preserve">An item is complete only when it does meet Acceptance Criteria – meets the MVC (NFR11) – commented (NFR12) – validates input to protect against SQL injection, cross-site scripting, and cross-site request forgery (NFR7) – scope all queries to the authenticated user (a customer can </w:t>
      </w:r>
      <w:r w:rsidR="1D6117C4">
        <w:rPr/>
        <w:t>only see his/her own branches, jobs and invoices) – it is reviewed by a member other than its own author – it is unit and integration tested – is rendered properly on mobile and desktop (NFR9) – it is deployed to a test environment and documentation is updated</w:t>
      </w:r>
      <w:r w:rsidR="15B0FC6B">
        <w:rPr/>
        <w:t>.</w:t>
      </w:r>
    </w:p>
    <w:p w:rsidR="00DE29B2" w:rsidP="668275B5" w:rsidRDefault="00DE29B2" w14:paraId="5F60C434" w14:textId="2890B2D4">
      <w:pPr>
        <w:pStyle w:val="Normal"/>
      </w:pPr>
      <w:r w:rsidRPr="668275B5" w:rsidR="15B0FC6B">
        <w:rPr>
          <w:b w:val="1"/>
          <w:bCs w:val="1"/>
        </w:rPr>
        <w:t xml:space="preserve">8 </w:t>
      </w:r>
      <w:r w:rsidRPr="668275B5" w:rsidR="62970C54">
        <w:rPr>
          <w:b w:val="1"/>
          <w:bCs w:val="1"/>
        </w:rPr>
        <w:t>.</w:t>
      </w:r>
      <w:r w:rsidRPr="668275B5" w:rsidR="15B0FC6B">
        <w:rPr>
          <w:b w:val="1"/>
          <w:bCs w:val="1"/>
        </w:rPr>
        <w:t>Standards</w:t>
      </w:r>
      <w:r w:rsidRPr="668275B5" w:rsidR="15B0FC6B">
        <w:rPr>
          <w:b w:val="1"/>
          <w:bCs w:val="1"/>
        </w:rPr>
        <w:t>, Traceability and Change Control</w:t>
      </w:r>
      <w:proofErr w:type="spellStart"/>
      <w:proofErr w:type="spellEnd"/>
    </w:p>
    <w:p w:rsidR="00DE29B2" w:rsidP="668275B5" w:rsidRDefault="00DE29B2" w14:paraId="49F8CAB7" w14:textId="2AF4AA11">
      <w:pPr>
        <w:pStyle w:val="Normal"/>
      </w:pPr>
      <w:r w:rsidR="1D6117C4">
        <w:rPr/>
        <w:t xml:space="preserve">Development is built with MVC and deployed locally via XAMPP or </w:t>
      </w:r>
      <w:r w:rsidR="1D6117C4">
        <w:rPr/>
        <w:t>Laragon</w:t>
      </w:r>
      <w:r w:rsidR="1D6117C4">
        <w:rPr/>
        <w:t xml:space="preserve">, with three environments (dev, shared </w:t>
      </w:r>
      <w:r w:rsidR="1D6117C4">
        <w:rPr/>
        <w:t>test</w:t>
      </w:r>
      <w:r w:rsidR="1D6117C4">
        <w:rPr/>
        <w:t xml:space="preserve"> and prod) each in a different region in Australia because of the NFR15 requirement for data residency. Only branches the work per backlog item and merges it after peer review – no credentials in the repository and no card details stored by the application.</w:t>
      </w:r>
    </w:p>
    <w:p w:rsidR="00A3125E" w:rsidP="00DE29B2" w:rsidRDefault="00DE29B2" w14:paraId="1F133335" w14:textId="6A18A926">
      <w:pPr>
        <w:pStyle w:val="NormalWeb"/>
      </w:pPr>
      <w:r>
        <w:t>All the backlog items are linked to their FR or NFRs, and this can be traced to the sprint where it was delivered and then to the test case in Section 14 to verify that it has been met. Change requests are evaluated for impact and added to a future sprint only and never to an ongoing sprint – if there will be a higher work volume, an item of equal or lower priority will be removed, so that the SPL will not be exceeded</w:t>
      </w:r>
      <w:r w:rsidR="00A3125E">
        <w:t>.</w:t>
      </w:r>
    </w:p>
    <w:p w:rsidR="00A3125E" w:rsidP="668275B5" w:rsidRDefault="00A3125E" w14:paraId="3EA030FA" w14:textId="3B9225F3">
      <w:pPr>
        <w:pStyle w:val="Normal"/>
        <w:rPr>
          <w:b w:val="1"/>
          <w:bCs w:val="1"/>
        </w:rPr>
      </w:pPr>
      <w:r w:rsidRPr="668275B5" w:rsidR="15B0FC6B">
        <w:rPr>
          <w:b w:val="1"/>
          <w:bCs w:val="1"/>
        </w:rPr>
        <w:t>9</w:t>
      </w:r>
      <w:r w:rsidRPr="668275B5" w:rsidR="63608D05">
        <w:rPr>
          <w:b w:val="1"/>
          <w:bCs w:val="1"/>
        </w:rPr>
        <w:t>.</w:t>
      </w:r>
      <w:r w:rsidRPr="668275B5" w:rsidR="15B0FC6B">
        <w:rPr>
          <w:b w:val="1"/>
          <w:bCs w:val="1"/>
        </w:rPr>
        <w:t xml:space="preserve"> Risk Control and Link to Testing</w:t>
      </w:r>
    </w:p>
    <w:p w:rsidR="1D6117C4" w:rsidP="668275B5" w:rsidRDefault="1D6117C4" w14:paraId="6F3202DD" w14:textId="03A1C061">
      <w:pPr>
        <w:pStyle w:val="NormalWeb"/>
      </w:pPr>
      <w:r w:rsidR="1D6117C4">
        <w:rPr/>
        <w:t>Risk categories that are addressed and controlled by the methodology include the requirement drift risk in sprint reviews (R1), the cyberattack risk in embedded security work (R2), the recovery risk in Week 10 review (R3), the exposure to defects on Week 10 recovery found during tests performed in the sprint (R4), the visibility of data loss in the shared repository (R5), and the spread of knowledge of the modules in peer review, reducing vulnerability to unavailability (R6). As described in Section 14 unit and integration testing is done on an ongoing basis throughout the sprints, system testing is done at the end of each sprint and user acceptance testing is done during Week 12, but for each sprint a shippable increment is produced.</w:t>
      </w:r>
    </w:p>
    <w:p w:rsidR="025C5274" w:rsidP="668275B5" w:rsidRDefault="025C5274" w14:paraId="79E8E047" w14:textId="533492EE">
      <w:pPr>
        <w:pStyle w:val="Normal"/>
        <w:rPr>
          <w:b w:val="1"/>
          <w:bCs w:val="1"/>
          <w:noProof w:val="0"/>
          <w:lang w:val="en-US"/>
        </w:rPr>
      </w:pPr>
      <w:r w:rsidRPr="668275B5" w:rsidR="025C5274">
        <w:rPr>
          <w:b w:val="1"/>
          <w:bCs w:val="1"/>
          <w:noProof w:val="0"/>
          <w:lang w:val="en-US"/>
        </w:rPr>
        <w:t>References</w:t>
      </w:r>
    </w:p>
    <w:p w:rsidR="025C5274" w:rsidP="668275B5" w:rsidRDefault="025C5274" w14:paraId="563E3676" w14:textId="227CB211">
      <w:pPr>
        <w:pStyle w:val="ListParagraph"/>
        <w:numPr>
          <w:ilvl w:val="0"/>
          <w:numId w:val="3"/>
        </w:numPr>
        <w:spacing w:before="240" w:beforeAutospacing="off" w:after="240" w:afterAutospacing="off"/>
        <w:rPr>
          <w:noProof w:val="0"/>
          <w:lang w:val="en-US"/>
        </w:rPr>
      </w:pPr>
      <w:r w:rsidRPr="668275B5" w:rsidR="025C5274">
        <w:rPr>
          <w:noProof w:val="0"/>
          <w:lang w:val="en-US"/>
        </w:rPr>
        <w:t xml:space="preserve">Schwaber, K. and Sutherland, J. (2020) </w:t>
      </w:r>
      <w:r w:rsidRPr="668275B5" w:rsidR="025C5274">
        <w:rPr>
          <w:i w:val="1"/>
          <w:iCs w:val="1"/>
          <w:noProof w:val="0"/>
          <w:lang w:val="en-US"/>
        </w:rPr>
        <w:t>The Scrum Guide: The Definitive Guide to Scrum: The Rules of the Game</w:t>
      </w:r>
      <w:r w:rsidRPr="668275B5" w:rsidR="025C5274">
        <w:rPr>
          <w:noProof w:val="0"/>
          <w:lang w:val="en-US"/>
        </w:rPr>
        <w:t xml:space="preserve">. Available at: </w:t>
      </w:r>
      <w:hyperlink r:id="Rc4d9f4319b844e1c">
        <w:r w:rsidRPr="668275B5" w:rsidR="025C5274">
          <w:rPr>
            <w:rStyle w:val="Hyperlink"/>
            <w:noProof w:val="0"/>
            <w:lang w:val="en-US"/>
          </w:rPr>
          <w:t>https://scrumguides.org/scrum-guide.html</w:t>
        </w:r>
      </w:hyperlink>
      <w:r w:rsidRPr="668275B5" w:rsidR="025C5274">
        <w:rPr>
          <w:noProof w:val="0"/>
          <w:lang w:val="en-US"/>
        </w:rPr>
        <w:t xml:space="preserve"> (Accessed: 11 August 2026).</w:t>
      </w:r>
    </w:p>
    <w:p w:rsidR="025C5274" w:rsidP="668275B5" w:rsidRDefault="025C5274" w14:paraId="0F1EB0B6" w14:textId="3D56F242">
      <w:pPr>
        <w:pStyle w:val="ListParagraph"/>
        <w:numPr>
          <w:ilvl w:val="0"/>
          <w:numId w:val="3"/>
        </w:numPr>
        <w:spacing w:before="240" w:beforeAutospacing="off" w:after="240" w:afterAutospacing="off"/>
        <w:rPr>
          <w:noProof w:val="0"/>
          <w:lang w:val="en-US"/>
        </w:rPr>
      </w:pPr>
      <w:r w:rsidRPr="668275B5" w:rsidR="025C5274">
        <w:rPr>
          <w:noProof w:val="0"/>
          <w:lang w:val="en-US"/>
        </w:rPr>
        <w:t xml:space="preserve">Beck, K. et al. (2001) </w:t>
      </w:r>
      <w:r w:rsidRPr="668275B5" w:rsidR="025C5274">
        <w:rPr>
          <w:i w:val="1"/>
          <w:iCs w:val="1"/>
          <w:noProof w:val="0"/>
          <w:lang w:val="en-US"/>
        </w:rPr>
        <w:t>Manifesto for Agile Software Development</w:t>
      </w:r>
      <w:r w:rsidRPr="668275B5" w:rsidR="025C5274">
        <w:rPr>
          <w:noProof w:val="0"/>
          <w:lang w:val="en-US"/>
        </w:rPr>
        <w:t xml:space="preserve">. Available at: </w:t>
      </w:r>
      <w:hyperlink r:id="Rc9c9911c654e4e48">
        <w:r w:rsidRPr="668275B5" w:rsidR="025C5274">
          <w:rPr>
            <w:rStyle w:val="Hyperlink"/>
            <w:noProof w:val="0"/>
            <w:lang w:val="en-US"/>
          </w:rPr>
          <w:t>https://agilemanifesto.org/</w:t>
        </w:r>
      </w:hyperlink>
      <w:r w:rsidRPr="668275B5" w:rsidR="025C5274">
        <w:rPr>
          <w:noProof w:val="0"/>
          <w:lang w:val="en-US"/>
        </w:rPr>
        <w:t xml:space="preserve"> (Accessed: 11 August 2026).</w:t>
      </w:r>
    </w:p>
    <w:p w:rsidR="025C5274" w:rsidP="668275B5" w:rsidRDefault="025C5274" w14:paraId="6013DDFE" w14:textId="433397D4">
      <w:pPr>
        <w:pStyle w:val="ListParagraph"/>
        <w:numPr>
          <w:ilvl w:val="0"/>
          <w:numId w:val="3"/>
        </w:numPr>
        <w:spacing w:before="240" w:beforeAutospacing="off" w:after="240" w:afterAutospacing="off"/>
        <w:rPr>
          <w:noProof w:val="0"/>
          <w:lang w:val="en-US"/>
        </w:rPr>
      </w:pPr>
      <w:r w:rsidRPr="668275B5" w:rsidR="025C5274">
        <w:rPr>
          <w:noProof w:val="0"/>
          <w:lang w:val="en-US"/>
        </w:rPr>
        <w:t xml:space="preserve">OWASP Foundation (2021) </w:t>
      </w:r>
      <w:r w:rsidRPr="668275B5" w:rsidR="025C5274">
        <w:rPr>
          <w:i w:val="1"/>
          <w:iCs w:val="1"/>
          <w:noProof w:val="0"/>
          <w:lang w:val="en-US"/>
        </w:rPr>
        <w:t>OWASP Top 10:2021</w:t>
      </w:r>
      <w:r w:rsidRPr="668275B5" w:rsidR="025C5274">
        <w:rPr>
          <w:noProof w:val="0"/>
          <w:lang w:val="en-US"/>
        </w:rPr>
        <w:t xml:space="preserve">. Available at: </w:t>
      </w:r>
      <w:hyperlink r:id="R93587a560c5e476d">
        <w:r w:rsidRPr="668275B5" w:rsidR="025C5274">
          <w:rPr>
            <w:rStyle w:val="Hyperlink"/>
            <w:noProof w:val="0"/>
            <w:lang w:val="en-US"/>
          </w:rPr>
          <w:t>https://owasp.org/Top10/2021/</w:t>
        </w:r>
      </w:hyperlink>
      <w:r w:rsidRPr="668275B5" w:rsidR="025C5274">
        <w:rPr>
          <w:noProof w:val="0"/>
          <w:lang w:val="en-US"/>
        </w:rPr>
        <w:t xml:space="preserve"> (Accessed: 11 August 2026).</w:t>
      </w:r>
    </w:p>
    <w:p w:rsidR="025C5274" w:rsidP="668275B5" w:rsidRDefault="025C5274" w14:paraId="69495BE5" w14:textId="5FBAACE6">
      <w:pPr>
        <w:pStyle w:val="ListParagraph"/>
        <w:numPr>
          <w:ilvl w:val="0"/>
          <w:numId w:val="3"/>
        </w:numPr>
        <w:spacing w:before="240" w:beforeAutospacing="off" w:after="240" w:afterAutospacing="off"/>
        <w:rPr>
          <w:noProof w:val="0"/>
          <w:lang w:val="en-US"/>
        </w:rPr>
      </w:pPr>
      <w:r w:rsidRPr="668275B5" w:rsidR="025C5274">
        <w:rPr>
          <w:noProof w:val="0"/>
          <w:lang w:val="en-US"/>
        </w:rPr>
        <w:t xml:space="preserve">World Wide Web Consortium (W3C) (2025) </w:t>
      </w:r>
      <w:r w:rsidRPr="668275B5" w:rsidR="025C5274">
        <w:rPr>
          <w:i w:val="1"/>
          <w:iCs w:val="1"/>
          <w:noProof w:val="0"/>
          <w:lang w:val="en-US"/>
        </w:rPr>
        <w:t>Web Content Accessibility Guidelines (WCAG) 2.1</w:t>
      </w:r>
      <w:r w:rsidRPr="668275B5" w:rsidR="025C5274">
        <w:rPr>
          <w:noProof w:val="0"/>
          <w:lang w:val="en-US"/>
        </w:rPr>
        <w:t xml:space="preserve">. Available at: </w:t>
      </w:r>
      <w:hyperlink r:id="R250ea35cf0064df6">
        <w:r w:rsidRPr="668275B5" w:rsidR="025C5274">
          <w:rPr>
            <w:rStyle w:val="Hyperlink"/>
            <w:noProof w:val="0"/>
            <w:lang w:val="en-US"/>
          </w:rPr>
          <w:t>https://www.w3.org/TR/WCAG21/</w:t>
        </w:r>
      </w:hyperlink>
      <w:r w:rsidRPr="668275B5" w:rsidR="025C5274">
        <w:rPr>
          <w:noProof w:val="0"/>
          <w:lang w:val="en-US"/>
        </w:rPr>
        <w:t xml:space="preserve"> (Accessed: 11 August 2026).</w:t>
      </w:r>
    </w:p>
    <w:p w:rsidR="025C5274" w:rsidP="668275B5" w:rsidRDefault="025C5274" w14:paraId="1C0EEC51" w14:textId="78B462FD">
      <w:pPr>
        <w:pStyle w:val="ListParagraph"/>
        <w:numPr>
          <w:ilvl w:val="0"/>
          <w:numId w:val="3"/>
        </w:numPr>
        <w:spacing w:before="240" w:beforeAutospacing="off" w:after="240" w:afterAutospacing="off"/>
        <w:rPr>
          <w:noProof w:val="0"/>
          <w:lang w:val="en-US"/>
        </w:rPr>
      </w:pPr>
      <w:r w:rsidRPr="668275B5" w:rsidR="025C5274">
        <w:rPr>
          <w:noProof w:val="0"/>
          <w:lang w:val="en-US"/>
        </w:rPr>
        <w:t xml:space="preserve">GitHub (2026) </w:t>
      </w:r>
      <w:r w:rsidRPr="668275B5" w:rsidR="025C5274">
        <w:rPr>
          <w:i w:val="1"/>
          <w:iCs w:val="1"/>
          <w:noProof w:val="0"/>
          <w:lang w:val="en-US"/>
        </w:rPr>
        <w:t>About Git</w:t>
      </w:r>
      <w:r w:rsidRPr="668275B5" w:rsidR="025C5274">
        <w:rPr>
          <w:noProof w:val="0"/>
          <w:lang w:val="en-US"/>
        </w:rPr>
        <w:t xml:space="preserve">. GitHub Docs. Available at: </w:t>
      </w:r>
      <w:hyperlink r:id="R34fedd19954a48fd">
        <w:r w:rsidRPr="668275B5" w:rsidR="025C5274">
          <w:rPr>
            <w:rStyle w:val="Hyperlink"/>
            <w:noProof w:val="0"/>
            <w:lang w:val="en-US"/>
          </w:rPr>
          <w:t>https://docs.github.com/en/get-started/using-git/about-git</w:t>
        </w:r>
      </w:hyperlink>
      <w:r w:rsidRPr="668275B5" w:rsidR="025C5274">
        <w:rPr>
          <w:noProof w:val="0"/>
          <w:lang w:val="en-US"/>
        </w:rPr>
        <w:t xml:space="preserve"> (Accessed: 11 August 2026).</w:t>
      </w:r>
    </w:p>
    <w:p w:rsidR="025C5274" w:rsidP="668275B5" w:rsidRDefault="025C5274" w14:paraId="0220F4CD" w14:textId="050B75EE">
      <w:pPr>
        <w:pStyle w:val="ListParagraph"/>
        <w:numPr>
          <w:ilvl w:val="0"/>
          <w:numId w:val="3"/>
        </w:numPr>
        <w:spacing w:before="240" w:beforeAutospacing="off" w:after="240" w:afterAutospacing="off"/>
        <w:rPr>
          <w:noProof w:val="0"/>
          <w:lang w:val="en-US"/>
        </w:rPr>
      </w:pPr>
      <w:r w:rsidRPr="668275B5" w:rsidR="025C5274">
        <w:rPr>
          <w:noProof w:val="0"/>
          <w:lang w:val="en-US"/>
        </w:rPr>
        <w:t xml:space="preserve">PHP Documentation Group (2026) </w:t>
      </w:r>
      <w:r w:rsidRPr="668275B5" w:rsidR="025C5274">
        <w:rPr>
          <w:i w:val="1"/>
          <w:iCs w:val="1"/>
          <w:noProof w:val="0"/>
          <w:lang w:val="en-US"/>
        </w:rPr>
        <w:t>password_hash — Creates a password hash</w:t>
      </w:r>
      <w:r w:rsidRPr="668275B5" w:rsidR="025C5274">
        <w:rPr>
          <w:noProof w:val="0"/>
          <w:lang w:val="en-US"/>
        </w:rPr>
        <w:t xml:space="preserve">. PHP Manual. Available at: </w:t>
      </w:r>
      <w:hyperlink r:id="R26b78f6b36f34ec5">
        <w:r w:rsidRPr="668275B5" w:rsidR="025C5274">
          <w:rPr>
            <w:rStyle w:val="Hyperlink"/>
            <w:noProof w:val="0"/>
            <w:lang w:val="en-US"/>
          </w:rPr>
          <w:t>https://www.php.net/manual/en/function.password-hash.php</w:t>
        </w:r>
      </w:hyperlink>
      <w:r w:rsidRPr="668275B5" w:rsidR="025C5274">
        <w:rPr>
          <w:noProof w:val="0"/>
          <w:lang w:val="en-US"/>
        </w:rPr>
        <w:t xml:space="preserve"> (Accessed: 11 August 2026).</w:t>
      </w:r>
    </w:p>
    <w:p w:rsidR="668275B5" w:rsidP="668275B5" w:rsidRDefault="668275B5" w14:paraId="34136323" w14:textId="3746D906">
      <w:pPr>
        <w:pStyle w:val="NormalWeb"/>
      </w:pPr>
    </w:p>
    <w:sectPr w:rsidR="00A3125E">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
    <w:nsid w:val="e4253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bbf64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62E66773"/>
    <w:multiLevelType w:val="multilevel"/>
    <w:tmpl w:val="DF9615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3">
    <w:abstractNumId w:val="2"/>
  </w:num>
  <w:num w:numId="2">
    <w:abstractNumId w:val="1"/>
  </w:num>
  <w:num w:numId="1" w16cid:durableId="1252620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25E"/>
    <w:rsid w:val="00584C6A"/>
    <w:rsid w:val="005C3583"/>
    <w:rsid w:val="006C7FC0"/>
    <w:rsid w:val="00971D8A"/>
    <w:rsid w:val="00A3125E"/>
    <w:rsid w:val="00BA2753"/>
    <w:rsid w:val="00DE29B2"/>
    <w:rsid w:val="00E77DC6"/>
    <w:rsid w:val="00FA7F0C"/>
    <w:rsid w:val="025C5274"/>
    <w:rsid w:val="02F7726E"/>
    <w:rsid w:val="13E60F34"/>
    <w:rsid w:val="15B0FC6B"/>
    <w:rsid w:val="188C0F52"/>
    <w:rsid w:val="1D6117C4"/>
    <w:rsid w:val="1E5C7CDA"/>
    <w:rsid w:val="1F85A1CF"/>
    <w:rsid w:val="20BB90C4"/>
    <w:rsid w:val="25CE3AB4"/>
    <w:rsid w:val="26D45EFC"/>
    <w:rsid w:val="276AE174"/>
    <w:rsid w:val="27D25A5E"/>
    <w:rsid w:val="2B81E514"/>
    <w:rsid w:val="322525BE"/>
    <w:rsid w:val="3292FA78"/>
    <w:rsid w:val="37A8A368"/>
    <w:rsid w:val="38795B30"/>
    <w:rsid w:val="42ACAAD0"/>
    <w:rsid w:val="48E5CD06"/>
    <w:rsid w:val="51A6730C"/>
    <w:rsid w:val="555894EB"/>
    <w:rsid w:val="562960E4"/>
    <w:rsid w:val="606E69C9"/>
    <w:rsid w:val="62970C54"/>
    <w:rsid w:val="63608D05"/>
    <w:rsid w:val="668275B5"/>
    <w:rsid w:val="6A1D2919"/>
    <w:rsid w:val="7C02C9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8B2332"/>
  <w15:chartTrackingRefBased/>
  <w15:docId w15:val="{A28B9978-19DB-4785-B424-AA40EB5F6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rFonts w:ascii="Calibri" w:hAnsi="Calibri" w:cs="Calibri"/>
      <w:b/>
      <w:bCs/>
      <w:color w:val="1F3864"/>
      <w:kern w:val="36"/>
      <w:sz w:val="36"/>
      <w:szCs w:val="36"/>
    </w:rPr>
  </w:style>
  <w:style w:type="paragraph" w:styleId="Heading2">
    <w:name w:val="heading 2"/>
    <w:basedOn w:val="Normal"/>
    <w:link w:val="Heading2Char"/>
    <w:uiPriority w:val="9"/>
    <w:qFormat/>
    <w:pPr>
      <w:spacing w:before="100" w:beforeAutospacing="1" w:after="100" w:afterAutospacing="1"/>
      <w:outlineLvl w:val="1"/>
    </w:pPr>
    <w:rPr>
      <w:rFonts w:ascii="Calibri" w:hAnsi="Calibri" w:cs="Calibri"/>
      <w:b/>
      <w:bCs/>
      <w:color w:val="2E5496"/>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msonormal0" w:customStyle="1">
    <w:name w:val="msonormal"/>
    <w:basedOn w:val="Normal"/>
    <w:pPr>
      <w:spacing w:before="100" w:beforeAutospacing="1" w:after="100" w:afterAutospacing="1"/>
    </w:pPr>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Pr>
      <w:rFonts w:asciiTheme="majorHAnsi" w:hAnsiTheme="majorHAnsi" w:eastAsiaTheme="majorEastAsia" w:cstheme="majorBidi"/>
      <w:color w:val="0F4761" w:themeColor="accent1" w:themeShade="BF"/>
      <w:sz w:val="32"/>
      <w:szCs w:val="32"/>
    </w:rPr>
  </w:style>
  <w:style w:type="paragraph" w:styleId="fig" w:customStyle="1">
    <w:name w:val="fig"/>
    <w:basedOn w:val="Normal"/>
    <w:pPr>
      <w:spacing w:before="100" w:beforeAutospacing="1" w:after="100" w:afterAutospacing="1"/>
      <w:jc w:val="center"/>
    </w:pPr>
    <w:rPr>
      <w:i/>
      <w:iCs/>
      <w:color w:val="404040"/>
      <w:sz w:val="20"/>
      <w:szCs w:val="20"/>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paragraph" w:styleId="ListParagraph">
    <w:uiPriority w:val="34"/>
    <w:name w:val="List Paragraph"/>
    <w:basedOn w:val="Normal"/>
    <w:qFormat/>
    <w:rsid w:val="668275B5"/>
    <w:pPr>
      <w:spacing/>
      <w:ind w:left="720"/>
      <w:contextualSpacing/>
    </w:pPr>
  </w:style>
  <w:style w:type="character" w:styleId="Hyperlink">
    <w:uiPriority w:val="99"/>
    <w:name w:val="Hyperlink"/>
    <w:basedOn w:val="DefaultParagraphFont"/>
    <w:unhideWhenUsed/>
    <w:rsid w:val="668275B5"/>
    <w:rPr>
      <w:color w:val="467886"/>
      <w:u w:val="single"/>
    </w:rPr>
  </w:style>
  <w:style xmlns:w14="http://schemas.microsoft.com/office/word/2010/wordml" xmlns:mc="http://schemas.openxmlformats.org/markup-compatibility/2006" xmlns:w="http://schemas.openxmlformats.org/wordprocessingml/2006/main" w:type="table" w:styleId="TableGrid" mc:Ignorable="w14">
    <w:name xmlns:w="http://schemas.openxmlformats.org/wordprocessingml/2006/main" w:val="Table Grid"/>
    <w:basedOn xmlns:w="http://schemas.openxmlformats.org/wordprocessingml/2006/main" w:val="TableNormal"/>
    <w:uiPriority xmlns:w="http://schemas.openxmlformats.org/wordprocessingml/2006/main" w:val="39"/>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hyperlink" Target="https://scrumguides.org/scrum-guide.html" TargetMode="External" Id="Rc4d9f4319b844e1c" /><Relationship Type="http://schemas.openxmlformats.org/officeDocument/2006/relationships/hyperlink" Target="https://agilemanifesto.org/" TargetMode="External" Id="Rc9c9911c654e4e48" /><Relationship Type="http://schemas.openxmlformats.org/officeDocument/2006/relationships/hyperlink" Target="https://owasp.org/Top10/2021/" TargetMode="External" Id="R93587a560c5e476d" /><Relationship Type="http://schemas.openxmlformats.org/officeDocument/2006/relationships/hyperlink" Target="https://www.w3.org/TR/WCAG21/" TargetMode="External" Id="R250ea35cf0064df6" /><Relationship Type="http://schemas.openxmlformats.org/officeDocument/2006/relationships/hyperlink" Target="https://docs.github.com/en/get-started/using-git/about-git" TargetMode="External" Id="R34fedd19954a48fd" /><Relationship Type="http://schemas.openxmlformats.org/officeDocument/2006/relationships/hyperlink" Target="https://www.php.net/manual/en/function.password-hash.php" TargetMode="External" Id="R26b78f6b36f34ec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Section 13 - System Development Methodology</dc:title>
  <dc:subject/>
  <dc:creator/>
  <keywords/>
  <dc:description/>
  <lastModifiedBy>Fiza Taskeya</lastModifiedBy>
  <revision>7</revision>
  <dcterms:created xsi:type="dcterms:W3CDTF">2026-08-11T03:27:00.0000000Z</dcterms:created>
  <dcterms:modified xsi:type="dcterms:W3CDTF">2026-08-11T10:15:41.4823926Z</dcterms:modified>
</coreProperties>
</file>