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9CB73" w14:textId="77777777" w:rsidR="00DF61CA" w:rsidRPr="00DF61CA" w:rsidRDefault="00DF61CA" w:rsidP="00DF61CA">
      <w:pPr>
        <w:rPr>
          <w:rFonts w:ascii="Times New Roman" w:hAnsi="Times New Roman" w:cs="Times New Roman"/>
          <w:b/>
          <w:bCs/>
        </w:rPr>
      </w:pPr>
      <w:r w:rsidRPr="00DF61CA">
        <w:rPr>
          <w:rFonts w:ascii="Times New Roman" w:hAnsi="Times New Roman" w:cs="Times New Roman"/>
          <w:b/>
          <w:bCs/>
        </w:rPr>
        <w:t>1.5 Project Assumptions</w:t>
      </w:r>
    </w:p>
    <w:p w14:paraId="2FD3975F" w14:textId="04482C41" w:rsidR="00DF61CA" w:rsidRDefault="00DF61CA" w:rsidP="00DF61CA">
      <w:pPr>
        <w:pStyle w:val="NormalWeb"/>
      </w:pPr>
      <w:r>
        <w:t xml:space="preserve">The assumptions below were jointly agreed with BINCOL's operations manager and the supervising lecturer for the team during initial project scoping. They define the conditions under which the objectives, requirements and design in this report were derived — if any of the assumptions below changes, those affected requirements should be reviewed before proceeding with development. </w:t>
      </w:r>
    </w:p>
    <w:p w14:paraId="267BC5CB" w14:textId="77777777" w:rsidR="00DF61CA" w:rsidRPr="00DF61CA" w:rsidRDefault="00DF61CA" w:rsidP="00DF61CA">
      <w:pPr>
        <w:pStyle w:val="NormalWeb"/>
        <w:ind w:left="360"/>
      </w:pPr>
      <w:r w:rsidRPr="00DF61CA">
        <w:rPr>
          <w:b/>
          <w:bCs/>
        </w:rPr>
        <w:t>Customer Internet and Device Access</w:t>
      </w:r>
    </w:p>
    <w:p w14:paraId="01B12020" w14:textId="77777777" w:rsidR="00DF61CA" w:rsidRPr="00DF61CA" w:rsidRDefault="00DF61CA" w:rsidP="00DF61CA">
      <w:pPr>
        <w:pStyle w:val="NormalWeb"/>
        <w:ind w:left="360"/>
      </w:pPr>
      <w:r w:rsidRPr="00DF61CA">
        <w:t xml:space="preserve">ALL registered business customers — cafes, restaurants, retail stores and light-industrial units have an internet connection, and access to a desktop/tablet or smart phone for placing your pickup bookings. </w:t>
      </w:r>
      <w:proofErr w:type="gramStart"/>
      <w:r w:rsidRPr="00DF61CA">
        <w:t>No</w:t>
      </w:r>
      <w:proofErr w:type="gramEnd"/>
      <w:r w:rsidRPr="00DF61CA">
        <w:t xml:space="preserve"> the system has not been designed for customers without internet access.</w:t>
      </w:r>
    </w:p>
    <w:p w14:paraId="032A0AA6" w14:textId="77777777" w:rsidR="00DF61CA" w:rsidRPr="008F2343" w:rsidRDefault="00DF61CA" w:rsidP="00DF61CA">
      <w:pPr>
        <w:pStyle w:val="NormalWeb"/>
        <w:ind w:left="360"/>
        <w:rPr>
          <w:b/>
          <w:bCs/>
        </w:rPr>
      </w:pPr>
      <w:r w:rsidRPr="008F2343">
        <w:rPr>
          <w:b/>
          <w:bCs/>
        </w:rPr>
        <w:t>Regulatory Compliance and Licensing</w:t>
      </w:r>
    </w:p>
    <w:p w14:paraId="7EE73D6C" w14:textId="77777777" w:rsidR="00DF61CA" w:rsidRPr="00DF61CA" w:rsidRDefault="00DF61CA" w:rsidP="00DF61CA">
      <w:pPr>
        <w:pStyle w:val="NormalWeb"/>
        <w:ind w:left="360"/>
      </w:pPr>
      <w:r w:rsidRPr="00DF61CA">
        <w:t xml:space="preserve">BINCOL already possesses a real business waste service provider permit and deals with landfill as well as reusing </w:t>
      </w:r>
      <w:proofErr w:type="spellStart"/>
      <w:r w:rsidRPr="00DF61CA">
        <w:t>centers</w:t>
      </w:r>
      <w:proofErr w:type="spellEnd"/>
      <w:r w:rsidRPr="00DF61CA">
        <w:t>. The project automating booking, payment and logistics; it is not replacing any regulatory approval on behalf of BINCOL.</w:t>
      </w:r>
    </w:p>
    <w:p w14:paraId="082C5524" w14:textId="77777777" w:rsidR="00DF61CA" w:rsidRPr="008F2343" w:rsidRDefault="00DF61CA" w:rsidP="00DF61CA">
      <w:pPr>
        <w:pStyle w:val="NormalWeb"/>
        <w:ind w:left="360"/>
        <w:rPr>
          <w:b/>
          <w:bCs/>
        </w:rPr>
      </w:pPr>
      <w:r w:rsidRPr="008F2343">
        <w:rPr>
          <w:b/>
          <w:bCs/>
        </w:rPr>
        <w:t>Waste Classification Categories</w:t>
      </w:r>
    </w:p>
    <w:p w14:paraId="27CAEA1F" w14:textId="77777777" w:rsidR="00DF61CA" w:rsidRPr="00DF61CA" w:rsidRDefault="00DF61CA" w:rsidP="00DF61CA">
      <w:pPr>
        <w:pStyle w:val="NormalWeb"/>
        <w:ind w:left="360"/>
      </w:pPr>
      <w:r w:rsidRPr="00DF61CA">
        <w:t>The project build holds all Council and EPA (Environment Protection Authority) waste classification categories used throughout the system — general waste, recyclables, organic/food waste and regulated commercial waste.</w:t>
      </w:r>
    </w:p>
    <w:p w14:paraId="2E8468E6" w14:textId="77777777" w:rsidR="00DF61CA" w:rsidRPr="008F2343" w:rsidRDefault="00DF61CA" w:rsidP="00DF61CA">
      <w:pPr>
        <w:pStyle w:val="NormalWeb"/>
        <w:ind w:left="360"/>
        <w:rPr>
          <w:b/>
          <w:bCs/>
        </w:rPr>
      </w:pPr>
      <w:r w:rsidRPr="008F2343">
        <w:rPr>
          <w:b/>
          <w:bCs/>
        </w:rPr>
        <w:t>Payment Gateway Integration</w:t>
      </w:r>
    </w:p>
    <w:p w14:paraId="28B91DE4" w14:textId="77777777" w:rsidR="00DF61CA" w:rsidRPr="00DF61CA" w:rsidRDefault="00DF61CA" w:rsidP="00DF61CA">
      <w:pPr>
        <w:pStyle w:val="NormalWeb"/>
        <w:ind w:left="360"/>
      </w:pPr>
      <w:r w:rsidRPr="00DF61CA">
        <w:t>The payment module will also use a third-party payment gateway (either Stripe or PayPal Business), and BINCOL will have an active merchant account before the payment module is tested on a live environment.</w:t>
      </w:r>
    </w:p>
    <w:p w14:paraId="60BC819A" w14:textId="77777777" w:rsidR="00DF61CA" w:rsidRPr="008F2343" w:rsidRDefault="00DF61CA" w:rsidP="00DF61CA">
      <w:pPr>
        <w:pStyle w:val="NormalWeb"/>
        <w:ind w:left="360"/>
        <w:rPr>
          <w:b/>
          <w:bCs/>
        </w:rPr>
      </w:pPr>
      <w:r w:rsidRPr="008F2343">
        <w:rPr>
          <w:b/>
          <w:bCs/>
        </w:rPr>
        <w:t>Driver Equipment and Connectivity</w:t>
      </w:r>
    </w:p>
    <w:p w14:paraId="3AC4DF9D" w14:textId="77777777" w:rsidR="00DF61CA" w:rsidRPr="00DF61CA" w:rsidRDefault="00DF61CA" w:rsidP="00DF61CA">
      <w:pPr>
        <w:pStyle w:val="NormalWeb"/>
        <w:ind w:left="360"/>
      </w:pPr>
      <w:r w:rsidRPr="00DF61CA">
        <w:t xml:space="preserve">For Collection drivers, this will be a company-supplied smartphone or tablet with mobile data coverage throughout the metro service area that is better than what it </w:t>
      </w:r>
      <w:proofErr w:type="gramStart"/>
      <w:r w:rsidRPr="00DF61CA">
        <w:t>requires</w:t>
      </w:r>
      <w:proofErr w:type="gramEnd"/>
      <w:r w:rsidRPr="00DF61CA">
        <w:t xml:space="preserve"> to run the driver-facing portion of the system in the field.</w:t>
      </w:r>
    </w:p>
    <w:p w14:paraId="2DC36EBD" w14:textId="77777777" w:rsidR="00DF61CA" w:rsidRPr="008F2343" w:rsidRDefault="00DF61CA" w:rsidP="00DF61CA">
      <w:pPr>
        <w:pStyle w:val="NormalWeb"/>
        <w:ind w:left="360"/>
        <w:rPr>
          <w:b/>
          <w:bCs/>
        </w:rPr>
      </w:pPr>
      <w:r w:rsidRPr="008F2343">
        <w:rPr>
          <w:b/>
          <w:bCs/>
        </w:rPr>
        <w:t>Fleet Capacity and Bin Sizes</w:t>
      </w:r>
    </w:p>
    <w:p w14:paraId="3D7C274C" w14:textId="77777777" w:rsidR="00DF61CA" w:rsidRPr="00DF61CA" w:rsidRDefault="00DF61CA" w:rsidP="00DF61CA">
      <w:pPr>
        <w:pStyle w:val="NormalWeb"/>
        <w:ind w:left="360"/>
      </w:pPr>
      <w:r w:rsidRPr="00DF61CA">
        <w:t>Available bin sizes and collection frequencies using the system are aligned with BINCOL's existing fleet capacity and truck-compaction limits as reported by BINCOL prior to project commencement.</w:t>
      </w:r>
    </w:p>
    <w:p w14:paraId="5EFC51E5" w14:textId="77777777" w:rsidR="00DF61CA" w:rsidRPr="008F2343" w:rsidRDefault="00DF61CA" w:rsidP="00DF61CA">
      <w:pPr>
        <w:pStyle w:val="NormalWeb"/>
        <w:ind w:left="360"/>
        <w:rPr>
          <w:b/>
          <w:bCs/>
        </w:rPr>
      </w:pPr>
      <w:r w:rsidRPr="008F2343">
        <w:rPr>
          <w:b/>
          <w:bCs/>
        </w:rPr>
        <w:t>Single Metropolitan Service Area</w:t>
      </w:r>
    </w:p>
    <w:p w14:paraId="10DE9C61" w14:textId="77777777" w:rsidR="00DF61CA" w:rsidRPr="00DF61CA" w:rsidRDefault="00DF61CA" w:rsidP="00DF61CA">
      <w:pPr>
        <w:pStyle w:val="NormalWeb"/>
        <w:ind w:left="360"/>
      </w:pPr>
      <w:r w:rsidRPr="00DF61CA">
        <w:t xml:space="preserve">Key Assumptions: The system will only be built out to the current single metropolitan service area for </w:t>
      </w:r>
      <w:proofErr w:type="gramStart"/>
      <w:r w:rsidRPr="00DF61CA">
        <w:t>BINCOL</w:t>
      </w:r>
      <w:proofErr w:type="gramEnd"/>
      <w:r w:rsidRPr="00DF61CA">
        <w:t xml:space="preserve"> and no assumptions have been made regarding multi-region requirements, as noted in Section 1.4.</w:t>
      </w:r>
    </w:p>
    <w:p w14:paraId="4721F514" w14:textId="77777777" w:rsidR="00DF61CA" w:rsidRPr="008F2343" w:rsidRDefault="00DF61CA" w:rsidP="00DF61CA">
      <w:pPr>
        <w:pStyle w:val="NormalWeb"/>
        <w:ind w:left="360"/>
        <w:rPr>
          <w:b/>
          <w:bCs/>
        </w:rPr>
      </w:pPr>
      <w:r w:rsidRPr="008F2343">
        <w:rPr>
          <w:b/>
          <w:bCs/>
        </w:rPr>
        <w:lastRenderedPageBreak/>
        <w:t>Customer Data Accuracy</w:t>
      </w:r>
    </w:p>
    <w:p w14:paraId="7CC3D0CF" w14:textId="77777777" w:rsidR="00DF61CA" w:rsidRPr="00DF61CA" w:rsidRDefault="00DF61CA" w:rsidP="00DF61CA">
      <w:pPr>
        <w:pStyle w:val="NormalWeb"/>
        <w:ind w:left="360"/>
      </w:pPr>
      <w:r w:rsidRPr="00DF61CA">
        <w:t>Customer data provided at the time of registration (ABN, business address, contact details) is not checked for accuracy and is assumed to be self-declared. As we highlighted in Section 1.4 this system only checks the format of what you're putting and not whether it is correct against gov.uk business registries.</w:t>
      </w:r>
    </w:p>
    <w:p w14:paraId="7F2E9F83" w14:textId="77777777" w:rsidR="00DF61CA" w:rsidRPr="008F2343" w:rsidRDefault="00DF61CA" w:rsidP="00DF61CA">
      <w:pPr>
        <w:pStyle w:val="NormalWeb"/>
        <w:ind w:left="360"/>
        <w:rPr>
          <w:b/>
          <w:bCs/>
        </w:rPr>
      </w:pPr>
      <w:r w:rsidRPr="008F2343">
        <w:rPr>
          <w:b/>
          <w:bCs/>
        </w:rPr>
        <w:t>Hosting and Infrastructure Budget</w:t>
      </w:r>
    </w:p>
    <w:p w14:paraId="3AAA70C8" w14:textId="77777777" w:rsidR="00DF61CA" w:rsidRPr="00DF61CA" w:rsidRDefault="00DF61CA" w:rsidP="00DF61CA">
      <w:pPr>
        <w:pStyle w:val="NormalWeb"/>
        <w:ind w:left="360"/>
      </w:pPr>
      <w:r w:rsidRPr="00DF61CA">
        <w:t>The hosting budget approved by BINCOL management is for a mid-tier cloud plan that provisioned sufficiently for BINCOL's current 130 commercial accounts, with appropriate growth headroom sized in the non-functional requirements.</w:t>
      </w:r>
    </w:p>
    <w:p w14:paraId="37B57CCD" w14:textId="77777777" w:rsidR="00DF61CA" w:rsidRPr="008F2343" w:rsidRDefault="00DF61CA" w:rsidP="00DF61CA">
      <w:pPr>
        <w:pStyle w:val="NormalWeb"/>
        <w:ind w:left="360"/>
        <w:rPr>
          <w:b/>
          <w:bCs/>
        </w:rPr>
      </w:pPr>
      <w:r w:rsidRPr="008F2343">
        <w:rPr>
          <w:b/>
          <w:bCs/>
        </w:rPr>
        <w:t>Team Tool Access</w:t>
      </w:r>
    </w:p>
    <w:p w14:paraId="48819DA3" w14:textId="77777777" w:rsidR="00DF61CA" w:rsidRPr="00DF61CA" w:rsidRDefault="00DF61CA" w:rsidP="00DF61CA">
      <w:pPr>
        <w:pStyle w:val="NormalWeb"/>
        <w:ind w:left="360"/>
      </w:pPr>
      <w:r w:rsidRPr="00DF61CA">
        <w:t xml:space="preserve">Balsamiq Cloud, </w:t>
      </w:r>
      <w:proofErr w:type="spellStart"/>
      <w:r w:rsidRPr="00DF61CA">
        <w:t>Lucidchart</w:t>
      </w:r>
      <w:proofErr w:type="spellEnd"/>
      <w:r w:rsidRPr="00DF61CA">
        <w:t xml:space="preserve"> and the shared GitHub repository will remain available to team members free of charge for the duration of the project timeline.</w:t>
      </w:r>
    </w:p>
    <w:p w14:paraId="2F8955E6" w14:textId="77777777" w:rsidR="00DF61CA" w:rsidRPr="008F2343" w:rsidRDefault="00DF61CA" w:rsidP="00DF61CA">
      <w:pPr>
        <w:pStyle w:val="NormalWeb"/>
        <w:ind w:left="360"/>
        <w:rPr>
          <w:b/>
          <w:bCs/>
        </w:rPr>
      </w:pPr>
      <w:r w:rsidRPr="008F2343">
        <w:rPr>
          <w:b/>
          <w:bCs/>
        </w:rPr>
        <w:t>Staff Availability for Validation</w:t>
      </w:r>
    </w:p>
    <w:p w14:paraId="42B130AC" w14:textId="77777777" w:rsidR="00DF61CA" w:rsidRPr="00DF61CA" w:rsidRDefault="00DF61CA" w:rsidP="00DF61CA">
      <w:pPr>
        <w:pStyle w:val="NormalWeb"/>
        <w:ind w:left="360"/>
      </w:pPr>
      <w:r w:rsidRPr="00DF61CA">
        <w:t>This feedback is essential for confirming that the design is consistent with how you operate because BINCOL will provide appropriate staff to validate requirements and user acceptance testing sessions within your project's ten-week timeframe.</w:t>
      </w:r>
    </w:p>
    <w:p w14:paraId="4EA6ACE9" w14:textId="77777777" w:rsidR="00DF61CA" w:rsidRPr="00DF61CA" w:rsidRDefault="00DF61CA" w:rsidP="00DF61CA">
      <w:pPr>
        <w:pStyle w:val="NormalWeb"/>
        <w:ind w:left="360"/>
      </w:pPr>
      <w:r w:rsidRPr="00DF61CA">
        <w:rPr>
          <w:b/>
          <w:bCs/>
        </w:rPr>
        <w:t>Illustrative Pricing and GST Data</w:t>
      </w:r>
    </w:p>
    <w:p w14:paraId="0862F5E2" w14:textId="77777777" w:rsidR="00DF61CA" w:rsidRPr="00DF61CA" w:rsidRDefault="00DF61CA" w:rsidP="00DF61CA">
      <w:pPr>
        <w:rPr>
          <w:rFonts w:ascii="Times New Roman" w:eastAsia="Times New Roman" w:hAnsi="Times New Roman" w:cs="Times New Roman"/>
          <w:kern w:val="0"/>
          <w:lang w:eastAsia="en-AU"/>
          <w14:ligatures w14:val="none"/>
        </w:rPr>
      </w:pPr>
      <w:r w:rsidRPr="00DF61CA">
        <w:rPr>
          <w:rFonts w:ascii="Times New Roman" w:eastAsia="Times New Roman" w:hAnsi="Times New Roman" w:cs="Times New Roman"/>
          <w:kern w:val="0"/>
          <w:lang w:eastAsia="en-AU"/>
          <w14:ligatures w14:val="none"/>
        </w:rPr>
        <w:t>All figures used for pricing, invoicing or GST in our wireframes, reports and test data are sample numbers created for the purposes of design and testing - all will be confirmed with BINCOL's finance team ahead of live use of the system on live customer billing.</w:t>
      </w:r>
    </w:p>
    <w:p w14:paraId="577F99EB" w14:textId="77777777" w:rsidR="00DF61CA" w:rsidRPr="00DF61CA" w:rsidRDefault="00DF61CA" w:rsidP="00DF61CA">
      <w:pPr>
        <w:rPr>
          <w:rFonts w:ascii="Times New Roman" w:eastAsia="Times New Roman" w:hAnsi="Times New Roman" w:cs="Times New Roman"/>
          <w:kern w:val="0"/>
          <w:lang w:eastAsia="en-AU"/>
          <w14:ligatures w14:val="none"/>
        </w:rPr>
      </w:pPr>
      <w:r w:rsidRPr="00DF61CA">
        <w:rPr>
          <w:rFonts w:ascii="Times New Roman" w:eastAsia="Times New Roman" w:hAnsi="Times New Roman" w:cs="Times New Roman"/>
          <w:kern w:val="0"/>
          <w:lang w:eastAsia="en-AU"/>
          <w14:ligatures w14:val="none"/>
        </w:rPr>
        <w:t>BINCOL management has concurred that a mid-tier cloud plan is adequate to accommodate 130+ active commercial accounts already on record with decent capacity remaining for future growth per the non-functional specifications.</w:t>
      </w:r>
    </w:p>
    <w:p w14:paraId="5540BCC3" w14:textId="77777777" w:rsidR="00DF61CA" w:rsidRPr="00DF61CA" w:rsidRDefault="00DF61CA" w:rsidP="00DF61CA">
      <w:pPr>
        <w:rPr>
          <w:rFonts w:ascii="Times New Roman" w:eastAsia="Times New Roman" w:hAnsi="Times New Roman" w:cs="Times New Roman"/>
          <w:kern w:val="0"/>
          <w:lang w:eastAsia="en-AU"/>
          <w14:ligatures w14:val="none"/>
        </w:rPr>
      </w:pPr>
      <w:r w:rsidRPr="00DF61CA">
        <w:rPr>
          <w:rFonts w:ascii="Times New Roman" w:eastAsia="Times New Roman" w:hAnsi="Times New Roman" w:cs="Times New Roman"/>
          <w:kern w:val="0"/>
          <w:lang w:eastAsia="en-AU"/>
          <w14:ligatures w14:val="none"/>
        </w:rPr>
        <w:t xml:space="preserve">Once created, team members will have ongoing access to Balsamiq Cloud and </w:t>
      </w:r>
      <w:proofErr w:type="spellStart"/>
      <w:r w:rsidRPr="00DF61CA">
        <w:rPr>
          <w:rFonts w:ascii="Times New Roman" w:eastAsia="Times New Roman" w:hAnsi="Times New Roman" w:cs="Times New Roman"/>
          <w:kern w:val="0"/>
          <w:lang w:eastAsia="en-AU"/>
          <w14:ligatures w14:val="none"/>
        </w:rPr>
        <w:t>Lucidcharts</w:t>
      </w:r>
      <w:proofErr w:type="spellEnd"/>
      <w:r w:rsidRPr="00DF61CA">
        <w:rPr>
          <w:rFonts w:ascii="Times New Roman" w:eastAsia="Times New Roman" w:hAnsi="Times New Roman" w:cs="Times New Roman"/>
          <w:kern w:val="0"/>
          <w:lang w:eastAsia="en-AU"/>
          <w14:ligatures w14:val="none"/>
        </w:rPr>
        <w:t>, and the shared GitHub repo for the remainder of the project timeline.</w:t>
      </w:r>
    </w:p>
    <w:p w14:paraId="2F96705D" w14:textId="77777777" w:rsidR="00DF61CA" w:rsidRPr="00DF61CA" w:rsidRDefault="00DF61CA" w:rsidP="00DF61CA">
      <w:pPr>
        <w:rPr>
          <w:rFonts w:ascii="Times New Roman" w:eastAsia="Times New Roman" w:hAnsi="Times New Roman" w:cs="Times New Roman"/>
          <w:kern w:val="0"/>
          <w:lang w:eastAsia="en-AU"/>
          <w14:ligatures w14:val="none"/>
        </w:rPr>
      </w:pPr>
      <w:r w:rsidRPr="00DF61CA">
        <w:rPr>
          <w:rFonts w:ascii="Times New Roman" w:eastAsia="Times New Roman" w:hAnsi="Times New Roman" w:cs="Times New Roman"/>
          <w:kern w:val="0"/>
          <w:lang w:eastAsia="en-AU"/>
          <w14:ligatures w14:val="none"/>
        </w:rPr>
        <w:t xml:space="preserve">In the </w:t>
      </w:r>
      <w:proofErr w:type="gramStart"/>
      <w:r w:rsidRPr="00DF61CA">
        <w:rPr>
          <w:rFonts w:ascii="Times New Roman" w:eastAsia="Times New Roman" w:hAnsi="Times New Roman" w:cs="Times New Roman"/>
          <w:kern w:val="0"/>
          <w:lang w:eastAsia="en-AU"/>
          <w14:ligatures w14:val="none"/>
        </w:rPr>
        <w:t>ten week</w:t>
      </w:r>
      <w:proofErr w:type="gramEnd"/>
      <w:r w:rsidRPr="00DF61CA">
        <w:rPr>
          <w:rFonts w:ascii="Times New Roman" w:eastAsia="Times New Roman" w:hAnsi="Times New Roman" w:cs="Times New Roman"/>
          <w:kern w:val="0"/>
          <w:lang w:eastAsia="en-AU"/>
          <w14:ligatures w14:val="none"/>
        </w:rPr>
        <w:t xml:space="preserve"> period of delivery (for those areas relevant the BINCOL will respond to take part in requirements validation and user acceptance testing sessions, with this feedback relied on to validate that any design closely reflects what operations will look like [A].</w:t>
      </w:r>
    </w:p>
    <w:p w14:paraId="39616C5D" w14:textId="77777777" w:rsidR="00DF61CA" w:rsidRPr="00DF61CA" w:rsidRDefault="00DF61CA" w:rsidP="00DF61CA">
      <w:pPr>
        <w:rPr>
          <w:rFonts w:ascii="Times New Roman" w:eastAsia="Times New Roman" w:hAnsi="Times New Roman" w:cs="Times New Roman"/>
          <w:kern w:val="0"/>
          <w:lang w:eastAsia="en-AU"/>
          <w14:ligatures w14:val="none"/>
        </w:rPr>
      </w:pPr>
      <w:r w:rsidRPr="00DF61CA">
        <w:rPr>
          <w:rFonts w:ascii="Times New Roman" w:eastAsia="Times New Roman" w:hAnsi="Times New Roman" w:cs="Times New Roman"/>
          <w:kern w:val="0"/>
          <w:lang w:eastAsia="en-AU"/>
          <w14:ligatures w14:val="none"/>
        </w:rPr>
        <w:t xml:space="preserve">Pricing, invoice or GST-related numbers in wireframes, reports and test data are all sample values which support system design and testing but will not be used for </w:t>
      </w:r>
      <w:proofErr w:type="gramStart"/>
      <w:r w:rsidRPr="00DF61CA">
        <w:rPr>
          <w:rFonts w:ascii="Times New Roman" w:eastAsia="Times New Roman" w:hAnsi="Times New Roman" w:cs="Times New Roman"/>
          <w:kern w:val="0"/>
          <w:lang w:eastAsia="en-AU"/>
          <w14:ligatures w14:val="none"/>
        </w:rPr>
        <w:t>actually live</w:t>
      </w:r>
      <w:proofErr w:type="gramEnd"/>
      <w:r w:rsidRPr="00DF61CA">
        <w:rPr>
          <w:rFonts w:ascii="Times New Roman" w:eastAsia="Times New Roman" w:hAnsi="Times New Roman" w:cs="Times New Roman"/>
          <w:kern w:val="0"/>
          <w:lang w:eastAsia="en-AU"/>
          <w14:ligatures w14:val="none"/>
        </w:rPr>
        <w:t xml:space="preserve"> customer billing without validation from the BINCOL finance team.</w:t>
      </w:r>
    </w:p>
    <w:p w14:paraId="14A4C9D3" w14:textId="77777777" w:rsidR="0006652F" w:rsidRPr="00DF61CA" w:rsidRDefault="0006652F">
      <w:pPr>
        <w:rPr>
          <w:rFonts w:ascii="Times New Roman" w:hAnsi="Times New Roman" w:cs="Times New Roman"/>
        </w:rPr>
      </w:pPr>
    </w:p>
    <w:sectPr w:rsidR="0006652F" w:rsidRPr="00DF61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7C20"/>
    <w:multiLevelType w:val="multilevel"/>
    <w:tmpl w:val="7B6A38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074F73"/>
    <w:multiLevelType w:val="multilevel"/>
    <w:tmpl w:val="57D2A47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8E75CC"/>
    <w:multiLevelType w:val="multilevel"/>
    <w:tmpl w:val="E4704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FD400C"/>
    <w:multiLevelType w:val="multilevel"/>
    <w:tmpl w:val="9556A9F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964840"/>
    <w:multiLevelType w:val="multilevel"/>
    <w:tmpl w:val="0B7034A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E14562"/>
    <w:multiLevelType w:val="multilevel"/>
    <w:tmpl w:val="29C0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6C6409"/>
    <w:multiLevelType w:val="multilevel"/>
    <w:tmpl w:val="F97469D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2A5009"/>
    <w:multiLevelType w:val="multilevel"/>
    <w:tmpl w:val="43A2F85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F91D87"/>
    <w:multiLevelType w:val="multilevel"/>
    <w:tmpl w:val="E218348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5470DF"/>
    <w:multiLevelType w:val="multilevel"/>
    <w:tmpl w:val="EBDAC11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8C548A"/>
    <w:multiLevelType w:val="multilevel"/>
    <w:tmpl w:val="0E0667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125910"/>
    <w:multiLevelType w:val="multilevel"/>
    <w:tmpl w:val="1E16778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B7519B0"/>
    <w:multiLevelType w:val="multilevel"/>
    <w:tmpl w:val="640C83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6882029">
    <w:abstractNumId w:val="5"/>
  </w:num>
  <w:num w:numId="2" w16cid:durableId="139733694">
    <w:abstractNumId w:val="2"/>
  </w:num>
  <w:num w:numId="3" w16cid:durableId="1505122292">
    <w:abstractNumId w:val="12"/>
  </w:num>
  <w:num w:numId="4" w16cid:durableId="1669746331">
    <w:abstractNumId w:val="0"/>
  </w:num>
  <w:num w:numId="5" w16cid:durableId="1366519937">
    <w:abstractNumId w:val="10"/>
  </w:num>
  <w:num w:numId="6" w16cid:durableId="719283219">
    <w:abstractNumId w:val="9"/>
  </w:num>
  <w:num w:numId="7" w16cid:durableId="1283656621">
    <w:abstractNumId w:val="1"/>
  </w:num>
  <w:num w:numId="8" w16cid:durableId="378820008">
    <w:abstractNumId w:val="3"/>
  </w:num>
  <w:num w:numId="9" w16cid:durableId="1187406711">
    <w:abstractNumId w:val="8"/>
  </w:num>
  <w:num w:numId="10" w16cid:durableId="1067260655">
    <w:abstractNumId w:val="6"/>
  </w:num>
  <w:num w:numId="11" w16cid:durableId="572858848">
    <w:abstractNumId w:val="11"/>
  </w:num>
  <w:num w:numId="12" w16cid:durableId="1308971740">
    <w:abstractNumId w:val="7"/>
  </w:num>
  <w:num w:numId="13" w16cid:durableId="19820292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52F"/>
    <w:rsid w:val="0006652F"/>
    <w:rsid w:val="008F2343"/>
    <w:rsid w:val="00964F8B"/>
    <w:rsid w:val="00DF61C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BF0E6"/>
  <w15:chartTrackingRefBased/>
  <w15:docId w15:val="{10039017-1724-4C54-A942-765E9E3F5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5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65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65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65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65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65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5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5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5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5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65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65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65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65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65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5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5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52F"/>
    <w:rPr>
      <w:rFonts w:eastAsiaTheme="majorEastAsia" w:cstheme="majorBidi"/>
      <w:color w:val="272727" w:themeColor="text1" w:themeTint="D8"/>
    </w:rPr>
  </w:style>
  <w:style w:type="paragraph" w:styleId="Title">
    <w:name w:val="Title"/>
    <w:basedOn w:val="Normal"/>
    <w:next w:val="Normal"/>
    <w:link w:val="TitleChar"/>
    <w:uiPriority w:val="10"/>
    <w:qFormat/>
    <w:rsid w:val="000665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5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5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5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52F"/>
    <w:pPr>
      <w:spacing w:before="160"/>
      <w:jc w:val="center"/>
    </w:pPr>
    <w:rPr>
      <w:i/>
      <w:iCs/>
      <w:color w:val="404040" w:themeColor="text1" w:themeTint="BF"/>
    </w:rPr>
  </w:style>
  <w:style w:type="character" w:customStyle="1" w:styleId="QuoteChar">
    <w:name w:val="Quote Char"/>
    <w:basedOn w:val="DefaultParagraphFont"/>
    <w:link w:val="Quote"/>
    <w:uiPriority w:val="29"/>
    <w:rsid w:val="0006652F"/>
    <w:rPr>
      <w:i/>
      <w:iCs/>
      <w:color w:val="404040" w:themeColor="text1" w:themeTint="BF"/>
    </w:rPr>
  </w:style>
  <w:style w:type="paragraph" w:styleId="ListParagraph">
    <w:name w:val="List Paragraph"/>
    <w:basedOn w:val="Normal"/>
    <w:uiPriority w:val="34"/>
    <w:qFormat/>
    <w:rsid w:val="0006652F"/>
    <w:pPr>
      <w:ind w:left="720"/>
      <w:contextualSpacing/>
    </w:pPr>
  </w:style>
  <w:style w:type="character" w:styleId="IntenseEmphasis">
    <w:name w:val="Intense Emphasis"/>
    <w:basedOn w:val="DefaultParagraphFont"/>
    <w:uiPriority w:val="21"/>
    <w:qFormat/>
    <w:rsid w:val="0006652F"/>
    <w:rPr>
      <w:i/>
      <w:iCs/>
      <w:color w:val="0F4761" w:themeColor="accent1" w:themeShade="BF"/>
    </w:rPr>
  </w:style>
  <w:style w:type="paragraph" w:styleId="IntenseQuote">
    <w:name w:val="Intense Quote"/>
    <w:basedOn w:val="Normal"/>
    <w:next w:val="Normal"/>
    <w:link w:val="IntenseQuoteChar"/>
    <w:uiPriority w:val="30"/>
    <w:qFormat/>
    <w:rsid w:val="000665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652F"/>
    <w:rPr>
      <w:i/>
      <w:iCs/>
      <w:color w:val="0F4761" w:themeColor="accent1" w:themeShade="BF"/>
    </w:rPr>
  </w:style>
  <w:style w:type="character" w:styleId="IntenseReference">
    <w:name w:val="Intense Reference"/>
    <w:basedOn w:val="DefaultParagraphFont"/>
    <w:uiPriority w:val="32"/>
    <w:qFormat/>
    <w:rsid w:val="0006652F"/>
    <w:rPr>
      <w:b/>
      <w:bCs/>
      <w:smallCaps/>
      <w:color w:val="0F4761" w:themeColor="accent1" w:themeShade="BF"/>
      <w:spacing w:val="5"/>
    </w:rPr>
  </w:style>
  <w:style w:type="paragraph" w:styleId="NormalWeb">
    <w:name w:val="Normal (Web)"/>
    <w:basedOn w:val="Normal"/>
    <w:uiPriority w:val="99"/>
    <w:unhideWhenUsed/>
    <w:rsid w:val="00DF61CA"/>
    <w:pPr>
      <w:spacing w:before="100" w:beforeAutospacing="1" w:after="100" w:afterAutospacing="1" w:line="240" w:lineRule="auto"/>
    </w:pPr>
    <w:rPr>
      <w:rFonts w:ascii="Times New Roman" w:eastAsia="Times New Roman" w:hAnsi="Times New Roman" w:cs="Times New Roman"/>
      <w:kern w:val="0"/>
      <w:lang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666</Words>
  <Characters>3798</Characters>
  <Application>Microsoft Office Word</Application>
  <DocSecurity>0</DocSecurity>
  <Lines>31</Lines>
  <Paragraphs>8</Paragraphs>
  <ScaleCrop>false</ScaleCrop>
  <Company/>
  <LinksUpToDate>false</LinksUpToDate>
  <CharactersWithSpaces>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imrrankhaan12@gmail.com</dc:creator>
  <cp:keywords/>
  <dc:description/>
  <cp:lastModifiedBy>imrrankhaan12@gmail.com</cp:lastModifiedBy>
  <cp:revision>3</cp:revision>
  <dcterms:created xsi:type="dcterms:W3CDTF">2026-07-30T07:28:00Z</dcterms:created>
  <dcterms:modified xsi:type="dcterms:W3CDTF">2026-07-30T07:36:00Z</dcterms:modified>
</cp:coreProperties>
</file>