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92DADE" w14:textId="77777777" w:rsidR="00003CC9" w:rsidRPr="008B4E1D" w:rsidRDefault="00000000">
      <w:pPr>
        <w:pStyle w:val="Heading1"/>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3.6 Ethical considerations and data privacy</w:t>
      </w:r>
    </w:p>
    <w:p w14:paraId="1AE323FC" w14:textId="28363C85" w:rsidR="00003CC9" w:rsidRPr="008B4E1D" w:rsidRDefault="00000000">
      <w:pPr>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 xml:space="preserve">DPMTMS handles personal and health information. Its design should support the Australian Privacy Principles and the applicable Victorian health-record obligations, while avoiding claims that a prototype has achieved legal compliance. The privacy approach below is a proposed operational design informed by OAIC guidance. </w:t>
      </w:r>
    </w:p>
    <w:p w14:paraId="16E829E8" w14:textId="77777777" w:rsidR="00003CC9" w:rsidRPr="008B4E1D" w:rsidRDefault="00000000">
      <w:pPr>
        <w:pStyle w:val="Heading2"/>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Purpose, minimum data and transparency</w:t>
      </w:r>
    </w:p>
    <w:p w14:paraId="639C54F6" w14:textId="77777777" w:rsidR="00003CC9" w:rsidRPr="008B4E1D" w:rsidRDefault="00000000">
      <w:pPr>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Collect information needed for the defined prescription and medication workflow. Explain its purpose, who can access it and how patients can request access or correction. Keep a patient’s clinical history out of broad administrative dashboards. Use synthetic patient and medicine data in demonstrations, screenshots and tests. Do not place real patient information or secrets in public GitHub repositories.</w:t>
      </w:r>
    </w:p>
    <w:p w14:paraId="7F745D98" w14:textId="77777777" w:rsidR="00003CC9" w:rsidRPr="008B4E1D" w:rsidRDefault="00000000">
      <w:pPr>
        <w:pStyle w:val="Heading2"/>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Access and correction</w:t>
      </w:r>
    </w:p>
    <w:p w14:paraId="2E379691" w14:textId="2F3451C3" w:rsidR="00003CC9" w:rsidRPr="008B4E1D" w:rsidRDefault="00000000">
      <w:pPr>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 xml:space="preserve">Patients should have an authenticated route to request their records and corrections. A request must not give unrestricted access to another person’s information. Preserve the history of corrections to issued prescriptions. OAIC guidance describes access rights and reasonable steps to correct inaccurate health information; the application should support a reviewed process rather than letting a patient rewrite a doctor’s issued order. </w:t>
      </w:r>
    </w:p>
    <w:p w14:paraId="25980661" w14:textId="77777777" w:rsidR="00003CC9" w:rsidRPr="008B4E1D" w:rsidRDefault="00000000">
      <w:pPr>
        <w:pStyle w:val="Heading2"/>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Retention and deletion</w:t>
      </w:r>
    </w:p>
    <w:p w14:paraId="54397893" w14:textId="05318454" w:rsidR="00003CC9" w:rsidRPr="008B4E1D" w:rsidRDefault="00000000">
      <w:pPr>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 xml:space="preserve">Remove the earlier DPIA statement that patients routinely delete medical data permanently. OAIC identifies retention requirements in Victoria, including seven years or, for a child, until age 25. The clinic must define the applicable retention trigger, exceptions and disposal authority before automated deletion is implemented. This document does not set a blanket deletion timer. </w:t>
      </w:r>
    </w:p>
    <w:p w14:paraId="3BD3883A" w14:textId="77777777" w:rsidR="00003CC9" w:rsidRPr="008B4E1D" w:rsidRDefault="00000000">
      <w:pPr>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Deactivation should normally disable login while preserving linked clinical and audit history. Authorised disposal must respect retention duties, legal holds and backup handling. A disposal event should retain appropriate accountability metadata without retaining the deleted sensitive content itself.</w:t>
      </w:r>
    </w:p>
    <w:p w14:paraId="3D1DF755" w14:textId="77777777" w:rsidR="00003CC9" w:rsidRPr="008B4E1D" w:rsidRDefault="00000000">
      <w:pPr>
        <w:pStyle w:val="Heading2"/>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External disclosure and responsible use</w:t>
      </w:r>
    </w:p>
    <w:p w14:paraId="41A63EB0" w14:textId="52D4E7B6" w:rsidR="00003CC9" w:rsidRPr="008B4E1D" w:rsidRDefault="00000000">
      <w:pPr>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Use neutral email/SMS messages that direct patients to the secure portal instead of exposing diagnoses or medicine details on lock screens. Assess service providers and any overseas disclosure before transmitting sensitive data. APP8 addresses cross-border disclosure; APP11 concerns security and permitted destruction/de-identification</w:t>
      </w:r>
      <w:r w:rsidR="008B4E1D" w:rsidRPr="008B4E1D">
        <w:rPr>
          <w:rFonts w:ascii="Times New Roman" w:hAnsi="Times New Roman" w:cs="Times New Roman"/>
          <w:color w:val="000000" w:themeColor="text1"/>
          <w:sz w:val="24"/>
          <w:szCs w:val="24"/>
        </w:rPr>
        <w:t>.</w:t>
      </w:r>
    </w:p>
    <w:p w14:paraId="21BFB25E" w14:textId="77777777" w:rsidR="00003CC9" w:rsidRPr="008B4E1D" w:rsidRDefault="00000000">
      <w:pPr>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AI suggestions must be advisory and clearly distinguished from a clinician’s decision. Do not transmit identifiable clinical records to an external AI service by default. A trained professional must review any suggestion, including allergy and interaction concerns. Unavailable or unverified automated advice must never be displayed as a completed safety check.</w:t>
      </w:r>
    </w:p>
    <w:p w14:paraId="522A7E1D" w14:textId="77777777" w:rsidR="00003CC9" w:rsidRPr="008B4E1D" w:rsidRDefault="00000000">
      <w:pPr>
        <w:pStyle w:val="Heading1"/>
        <w:pageBreakBefore/>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lastRenderedPageBreak/>
        <w:t>3.6 Security, access control and accountability</w:t>
      </w:r>
    </w:p>
    <w:tbl>
      <w:tblPr>
        <w:tblW w:w="9360" w:type="dxa"/>
        <w:tblInd w:w="120" w:type="dxa"/>
        <w:tblBorders>
          <w:top w:val="single" w:sz="4" w:space="0" w:color="D4DEE5"/>
          <w:left w:val="single" w:sz="4" w:space="0" w:color="D4DEE5"/>
          <w:bottom w:val="single" w:sz="4" w:space="0" w:color="D4DEE5"/>
          <w:right w:val="single" w:sz="4" w:space="0" w:color="D4DEE5"/>
          <w:insideH w:val="single" w:sz="4" w:space="0" w:color="D4DEE5"/>
          <w:insideV w:val="single" w:sz="4" w:space="0" w:color="D4DEE5"/>
        </w:tblBorders>
        <w:tblLayout w:type="fixed"/>
        <w:tblCellMar>
          <w:top w:w="80" w:type="dxa"/>
          <w:left w:w="120" w:type="dxa"/>
          <w:bottom w:w="80" w:type="dxa"/>
          <w:right w:w="120" w:type="dxa"/>
        </w:tblCellMar>
        <w:tblLook w:val="04A0" w:firstRow="1" w:lastRow="0" w:firstColumn="1" w:lastColumn="0" w:noHBand="0" w:noVBand="1"/>
      </w:tblPr>
      <w:tblGrid>
        <w:gridCol w:w="1650"/>
        <w:gridCol w:w="3900"/>
        <w:gridCol w:w="3810"/>
      </w:tblGrid>
      <w:tr w:rsidR="00003CC9" w:rsidRPr="008B4E1D" w14:paraId="2D77DBFC" w14:textId="77777777">
        <w:trPr>
          <w:cantSplit/>
          <w:tblHeader/>
        </w:trPr>
        <w:tc>
          <w:tcPr>
            <w:tcW w:w="1650" w:type="dxa"/>
            <w:shd w:val="clear" w:color="auto" w:fill="F2F4F7"/>
            <w:vAlign w:val="center"/>
          </w:tcPr>
          <w:p w14:paraId="433500B1" w14:textId="77777777" w:rsidR="00003CC9" w:rsidRPr="008B4E1D" w:rsidRDefault="00000000">
            <w:pPr>
              <w:spacing w:after="60"/>
              <w:rPr>
                <w:rFonts w:ascii="Times New Roman" w:hAnsi="Times New Roman" w:cs="Times New Roman"/>
                <w:color w:val="000000" w:themeColor="text1"/>
                <w:sz w:val="24"/>
                <w:szCs w:val="24"/>
              </w:rPr>
            </w:pPr>
            <w:r w:rsidRPr="008B4E1D">
              <w:rPr>
                <w:rFonts w:ascii="Times New Roman" w:hAnsi="Times New Roman" w:cs="Times New Roman"/>
                <w:b/>
                <w:color w:val="000000" w:themeColor="text1"/>
                <w:sz w:val="24"/>
                <w:szCs w:val="24"/>
              </w:rPr>
              <w:t>Role</w:t>
            </w:r>
          </w:p>
        </w:tc>
        <w:tc>
          <w:tcPr>
            <w:tcW w:w="3900" w:type="dxa"/>
            <w:shd w:val="clear" w:color="auto" w:fill="F2F4F7"/>
            <w:vAlign w:val="center"/>
          </w:tcPr>
          <w:p w14:paraId="63685E31" w14:textId="77777777" w:rsidR="00003CC9" w:rsidRPr="008B4E1D" w:rsidRDefault="00000000">
            <w:pPr>
              <w:spacing w:after="60"/>
              <w:rPr>
                <w:rFonts w:ascii="Times New Roman" w:hAnsi="Times New Roman" w:cs="Times New Roman"/>
                <w:color w:val="000000" w:themeColor="text1"/>
                <w:sz w:val="24"/>
                <w:szCs w:val="24"/>
              </w:rPr>
            </w:pPr>
            <w:r w:rsidRPr="008B4E1D">
              <w:rPr>
                <w:rFonts w:ascii="Times New Roman" w:hAnsi="Times New Roman" w:cs="Times New Roman"/>
                <w:b/>
                <w:color w:val="000000" w:themeColor="text1"/>
                <w:sz w:val="24"/>
                <w:szCs w:val="24"/>
              </w:rPr>
              <w:t>Permitted scope</w:t>
            </w:r>
          </w:p>
        </w:tc>
        <w:tc>
          <w:tcPr>
            <w:tcW w:w="3810" w:type="dxa"/>
            <w:shd w:val="clear" w:color="auto" w:fill="F2F4F7"/>
            <w:vAlign w:val="center"/>
          </w:tcPr>
          <w:p w14:paraId="35F25A1D" w14:textId="77777777" w:rsidR="00003CC9" w:rsidRPr="008B4E1D" w:rsidRDefault="00000000">
            <w:pPr>
              <w:spacing w:after="60"/>
              <w:rPr>
                <w:rFonts w:ascii="Times New Roman" w:hAnsi="Times New Roman" w:cs="Times New Roman"/>
                <w:color w:val="000000" w:themeColor="text1"/>
                <w:sz w:val="24"/>
                <w:szCs w:val="24"/>
              </w:rPr>
            </w:pPr>
            <w:r w:rsidRPr="008B4E1D">
              <w:rPr>
                <w:rFonts w:ascii="Times New Roman" w:hAnsi="Times New Roman" w:cs="Times New Roman"/>
                <w:b/>
                <w:color w:val="000000" w:themeColor="text1"/>
                <w:sz w:val="24"/>
                <w:szCs w:val="24"/>
              </w:rPr>
              <w:t>Key restriction</w:t>
            </w:r>
          </w:p>
        </w:tc>
      </w:tr>
      <w:tr w:rsidR="00003CC9" w:rsidRPr="008B4E1D" w14:paraId="51BA27BF" w14:textId="77777777">
        <w:trPr>
          <w:cantSplit/>
        </w:trPr>
        <w:tc>
          <w:tcPr>
            <w:tcW w:w="1650" w:type="dxa"/>
            <w:vAlign w:val="center"/>
          </w:tcPr>
          <w:p w14:paraId="6A3F1707" w14:textId="77777777" w:rsidR="00003CC9" w:rsidRPr="008B4E1D" w:rsidRDefault="00000000">
            <w:pPr>
              <w:spacing w:after="60"/>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Patient</w:t>
            </w:r>
          </w:p>
        </w:tc>
        <w:tc>
          <w:tcPr>
            <w:tcW w:w="3900" w:type="dxa"/>
            <w:vAlign w:val="center"/>
          </w:tcPr>
          <w:p w14:paraId="1163687F" w14:textId="77777777" w:rsidR="00003CC9" w:rsidRPr="008B4E1D" w:rsidRDefault="00000000">
            <w:pPr>
              <w:spacing w:after="60"/>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Own profile, prescriptions and dose records</w:t>
            </w:r>
          </w:p>
        </w:tc>
        <w:tc>
          <w:tcPr>
            <w:tcW w:w="3810" w:type="dxa"/>
            <w:vAlign w:val="center"/>
          </w:tcPr>
          <w:p w14:paraId="2DAC9AC4" w14:textId="77777777" w:rsidR="00003CC9" w:rsidRPr="008B4E1D" w:rsidRDefault="00000000">
            <w:pPr>
              <w:spacing w:after="60"/>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Cannot change issued prescriptions or erase clinical history</w:t>
            </w:r>
          </w:p>
        </w:tc>
      </w:tr>
      <w:tr w:rsidR="00003CC9" w:rsidRPr="008B4E1D" w14:paraId="0BE0BB51" w14:textId="77777777">
        <w:trPr>
          <w:cantSplit/>
        </w:trPr>
        <w:tc>
          <w:tcPr>
            <w:tcW w:w="1650" w:type="dxa"/>
            <w:vAlign w:val="center"/>
          </w:tcPr>
          <w:p w14:paraId="6D939C5B" w14:textId="77777777" w:rsidR="00003CC9" w:rsidRPr="008B4E1D" w:rsidRDefault="00000000">
            <w:pPr>
              <w:spacing w:after="60"/>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Doctor</w:t>
            </w:r>
          </w:p>
        </w:tc>
        <w:tc>
          <w:tcPr>
            <w:tcW w:w="3900" w:type="dxa"/>
            <w:vAlign w:val="center"/>
          </w:tcPr>
          <w:p w14:paraId="52E24452" w14:textId="77777777" w:rsidR="00003CC9" w:rsidRPr="008B4E1D" w:rsidRDefault="00000000">
            <w:pPr>
              <w:spacing w:after="60"/>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Authorised patients and issued prescriptions</w:t>
            </w:r>
          </w:p>
        </w:tc>
        <w:tc>
          <w:tcPr>
            <w:tcW w:w="3810" w:type="dxa"/>
            <w:vAlign w:val="center"/>
          </w:tcPr>
          <w:p w14:paraId="4D63E1F8" w14:textId="77777777" w:rsidR="00003CC9" w:rsidRPr="008B4E1D" w:rsidRDefault="00000000">
            <w:pPr>
              <w:spacing w:after="60"/>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Cannot bypass signing/version controls</w:t>
            </w:r>
          </w:p>
        </w:tc>
      </w:tr>
      <w:tr w:rsidR="00003CC9" w:rsidRPr="008B4E1D" w14:paraId="4CB2E225" w14:textId="77777777">
        <w:trPr>
          <w:cantSplit/>
        </w:trPr>
        <w:tc>
          <w:tcPr>
            <w:tcW w:w="1650" w:type="dxa"/>
            <w:vAlign w:val="center"/>
          </w:tcPr>
          <w:p w14:paraId="477ECC32" w14:textId="77777777" w:rsidR="00003CC9" w:rsidRPr="008B4E1D" w:rsidRDefault="00000000">
            <w:pPr>
              <w:spacing w:after="60"/>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Pharmacist</w:t>
            </w:r>
          </w:p>
        </w:tc>
        <w:tc>
          <w:tcPr>
            <w:tcW w:w="3900" w:type="dxa"/>
            <w:vAlign w:val="center"/>
          </w:tcPr>
          <w:p w14:paraId="666C75B9" w14:textId="77777777" w:rsidR="00003CC9" w:rsidRPr="008B4E1D" w:rsidRDefault="00000000">
            <w:pPr>
              <w:spacing w:after="60"/>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Assigned pharmacy prescriptions, supply and inventory</w:t>
            </w:r>
          </w:p>
        </w:tc>
        <w:tc>
          <w:tcPr>
            <w:tcW w:w="3810" w:type="dxa"/>
            <w:vAlign w:val="center"/>
          </w:tcPr>
          <w:p w14:paraId="69ED390F" w14:textId="77777777" w:rsidR="00003CC9" w:rsidRPr="008B4E1D" w:rsidRDefault="00000000">
            <w:pPr>
              <w:spacing w:after="60"/>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Cannot view unrelated pharmacies or alter prescribed instructions</w:t>
            </w:r>
          </w:p>
        </w:tc>
      </w:tr>
      <w:tr w:rsidR="00003CC9" w:rsidRPr="008B4E1D" w14:paraId="6A0D6FE5" w14:textId="77777777">
        <w:trPr>
          <w:cantSplit/>
        </w:trPr>
        <w:tc>
          <w:tcPr>
            <w:tcW w:w="1650" w:type="dxa"/>
            <w:vAlign w:val="center"/>
          </w:tcPr>
          <w:p w14:paraId="059A7C4A" w14:textId="77777777" w:rsidR="00003CC9" w:rsidRPr="008B4E1D" w:rsidRDefault="00000000">
            <w:pPr>
              <w:spacing w:after="60"/>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Administrator</w:t>
            </w:r>
          </w:p>
        </w:tc>
        <w:tc>
          <w:tcPr>
            <w:tcW w:w="3900" w:type="dxa"/>
            <w:vAlign w:val="center"/>
          </w:tcPr>
          <w:p w14:paraId="129EC401" w14:textId="77777777" w:rsidR="00003CC9" w:rsidRPr="008B4E1D" w:rsidRDefault="00000000">
            <w:pPr>
              <w:spacing w:after="60"/>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Accounts, roles, settings and approved audit/report functions</w:t>
            </w:r>
          </w:p>
        </w:tc>
        <w:tc>
          <w:tcPr>
            <w:tcW w:w="3810" w:type="dxa"/>
            <w:vAlign w:val="center"/>
          </w:tcPr>
          <w:p w14:paraId="6FD218C7" w14:textId="77777777" w:rsidR="00003CC9" w:rsidRPr="008B4E1D" w:rsidRDefault="00000000">
            <w:pPr>
              <w:spacing w:after="60"/>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Administrative status does not automatically grant unrestricted clinical access</w:t>
            </w:r>
          </w:p>
        </w:tc>
      </w:tr>
    </w:tbl>
    <w:p w14:paraId="208A89B9" w14:textId="77777777" w:rsidR="00003CC9" w:rsidRPr="008B4E1D" w:rsidRDefault="00003CC9">
      <w:pPr>
        <w:rPr>
          <w:rFonts w:ascii="Times New Roman" w:hAnsi="Times New Roman" w:cs="Times New Roman"/>
          <w:color w:val="000000" w:themeColor="text1"/>
          <w:sz w:val="24"/>
          <w:szCs w:val="24"/>
        </w:rPr>
      </w:pPr>
    </w:p>
    <w:p w14:paraId="7DD23666" w14:textId="77777777" w:rsidR="00003CC9" w:rsidRPr="008B4E1D" w:rsidRDefault="00000000">
      <w:pPr>
        <w:pStyle w:val="Heading2"/>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Technical safeguards</w:t>
      </w:r>
    </w:p>
    <w:p w14:paraId="047DF01A" w14:textId="77777777" w:rsidR="00003CC9" w:rsidRPr="008B4E1D" w:rsidRDefault="00000000">
      <w:pPr>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Use HTTPS, server-side authorisation, protected sessions, CSRF protection for state-changing requests and input validation. Passwords are hashed, not reversibly encrypted; the project specifies bcrypt. Sensitive clinical fields use authenticated encryption with keys stored separately from the database and source repository. The AES-256 requirement alone does not specify safe key handling or an encryption mode.</w:t>
      </w:r>
    </w:p>
    <w:p w14:paraId="6E70D176" w14:textId="77777777" w:rsidR="00003CC9" w:rsidRPr="008B4E1D" w:rsidRDefault="00000000">
      <w:pPr>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Limit the application’s database privileges and restrict administrative interfaces. Protect backups and test restoration. Ordinary application accounts must not update or delete audit rows. An append-only table alone is not immutable against a database administrator; stronger audit protection requires a separate protected destination or tamper-evident mechanism and an access policy.</w:t>
      </w:r>
    </w:p>
    <w:p w14:paraId="792088A9" w14:textId="77777777" w:rsidR="00003CC9" w:rsidRPr="008B4E1D" w:rsidRDefault="00000000">
      <w:pPr>
        <w:pStyle w:val="Heading2"/>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Human safety and accessibility</w:t>
      </w:r>
    </w:p>
    <w:p w14:paraId="7027B1B4" w14:textId="77777777" w:rsidR="00003CC9" w:rsidRPr="008B4E1D" w:rsidRDefault="00000000">
      <w:pPr>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Display medicine name, strength, unit, prescription version and patient identifier clearly at verification and handover. Do not rely on colour alone for Failed, Expired or Recalled states. Provide keyboard navigation, visible focus, readable labels and text errors that explain how to recover. Designs should be reviewed with users who need larger text or assistance; no user testing is claimed here.</w:t>
      </w:r>
    </w:p>
    <w:p w14:paraId="3DD93F66" w14:textId="77777777" w:rsidR="00003CC9" w:rsidRPr="008B4E1D" w:rsidRDefault="00000000">
      <w:pPr>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Avoid treating forecasts or automated shortage alerts as confirmed facts without source and freshness information. Recalled batches must be blocked at collection even if the pharmacist opened the page earlier. Clinical and stock changes need attributable correction records instead of silent edits.</w:t>
      </w:r>
    </w:p>
    <w:p w14:paraId="52621361" w14:textId="77777777" w:rsidR="00003CC9" w:rsidRPr="008B4E1D" w:rsidRDefault="00000000">
      <w:pPr>
        <w:pStyle w:val="Heading2"/>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lastRenderedPageBreak/>
        <w:t>Review and incident handling</w:t>
      </w:r>
    </w:p>
    <w:p w14:paraId="178E5C96" w14:textId="77777777" w:rsidR="00003CC9" w:rsidRPr="008B4E1D" w:rsidRDefault="00000000">
      <w:pPr>
        <w:rPr>
          <w:rFonts w:ascii="Times New Roman" w:hAnsi="Times New Roman" w:cs="Times New Roman"/>
          <w:color w:val="000000" w:themeColor="text1"/>
          <w:sz w:val="24"/>
          <w:szCs w:val="24"/>
        </w:rPr>
      </w:pPr>
      <w:r w:rsidRPr="008B4E1D">
        <w:rPr>
          <w:rFonts w:ascii="Times New Roman" w:hAnsi="Times New Roman" w:cs="Times New Roman"/>
          <w:color w:val="000000" w:themeColor="text1"/>
          <w:sz w:val="24"/>
          <w:szCs w:val="24"/>
        </w:rPr>
        <w:t>Assign owners for privacy requests, access reviews, incident response, retention and backup restoration. Record actual review evidence before stating that risks are approved or reduced. The earlier DPIA’s named sign-offs and “Low” residual-risk entries are not independently verified by the repository review. A privacy/security incident procedure must include containment, evidence preservation and assessment of any applicable notification obligations.</w:t>
      </w:r>
    </w:p>
    <w:p w14:paraId="2CFCA13F" w14:textId="68ECFA32" w:rsidR="00003CC9" w:rsidRPr="008B4E1D" w:rsidRDefault="00003CC9">
      <w:pPr>
        <w:spacing w:after="80"/>
        <w:rPr>
          <w:rFonts w:ascii="Times New Roman" w:hAnsi="Times New Roman" w:cs="Times New Roman"/>
          <w:color w:val="000000" w:themeColor="text1"/>
          <w:sz w:val="24"/>
          <w:szCs w:val="24"/>
        </w:rPr>
      </w:pPr>
    </w:p>
    <w:sectPr w:rsidR="00003CC9" w:rsidRPr="008B4E1D"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FA3A40" w14:textId="77777777" w:rsidR="00906003" w:rsidRDefault="00906003">
      <w:pPr>
        <w:spacing w:after="0" w:line="240" w:lineRule="auto"/>
      </w:pPr>
      <w:r>
        <w:separator/>
      </w:r>
    </w:p>
  </w:endnote>
  <w:endnote w:type="continuationSeparator" w:id="0">
    <w:p w14:paraId="51450038" w14:textId="77777777" w:rsidR="00906003" w:rsidRDefault="00906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546DD0" w14:textId="7AF14A24" w:rsidR="00003CC9" w:rsidRDefault="00003CC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3F6E7D" w14:textId="77777777" w:rsidR="00906003" w:rsidRDefault="00906003">
      <w:pPr>
        <w:spacing w:after="0" w:line="240" w:lineRule="auto"/>
      </w:pPr>
      <w:r>
        <w:separator/>
      </w:r>
    </w:p>
  </w:footnote>
  <w:footnote w:type="continuationSeparator" w:id="0">
    <w:p w14:paraId="219D76DF" w14:textId="77777777" w:rsidR="00906003" w:rsidRDefault="009060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581846">
    <w:abstractNumId w:val="8"/>
  </w:num>
  <w:num w:numId="2" w16cid:durableId="498817047">
    <w:abstractNumId w:val="6"/>
  </w:num>
  <w:num w:numId="3" w16cid:durableId="878324376">
    <w:abstractNumId w:val="5"/>
  </w:num>
  <w:num w:numId="4" w16cid:durableId="1211183945">
    <w:abstractNumId w:val="4"/>
  </w:num>
  <w:num w:numId="5" w16cid:durableId="549265464">
    <w:abstractNumId w:val="7"/>
  </w:num>
  <w:num w:numId="6" w16cid:durableId="1385134510">
    <w:abstractNumId w:val="3"/>
  </w:num>
  <w:num w:numId="7" w16cid:durableId="1581985369">
    <w:abstractNumId w:val="2"/>
  </w:num>
  <w:num w:numId="8" w16cid:durableId="725185582">
    <w:abstractNumId w:val="1"/>
  </w:num>
  <w:num w:numId="9" w16cid:durableId="3114494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CC9"/>
    <w:rsid w:val="00034616"/>
    <w:rsid w:val="0006063C"/>
    <w:rsid w:val="00092B97"/>
    <w:rsid w:val="0015074B"/>
    <w:rsid w:val="0029639D"/>
    <w:rsid w:val="00326F90"/>
    <w:rsid w:val="00653DA9"/>
    <w:rsid w:val="007864D1"/>
    <w:rsid w:val="008B4E1D"/>
    <w:rsid w:val="00906003"/>
    <w:rsid w:val="00AA1D8D"/>
    <w:rsid w:val="00B47730"/>
    <w:rsid w:val="00CB0664"/>
    <w:rsid w:val="00E466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FD23C6"/>
  <w14:defaultImageDpi w14:val="300"/>
  <w15:docId w15:val="{EE097194-C8A4-6F43-856F-F208A5815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72F4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contextualSpacing/>
    </w:pPr>
    <w:rPr>
      <w:rFonts w:asciiTheme="majorHAnsi" w:eastAsiaTheme="majorEastAsia" w:hAnsiTheme="majorHAnsi" w:cstheme="majorBidi"/>
      <w:color w:val="1736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
      <w:iCs/>
      <w:color w:val="516A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80"/>
    </w:pPr>
    <w:rPr>
      <w:b/>
      <w:bCs/>
      <w:color w:val="516A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797</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#72 - SRS Section 3.6</dc:title>
  <dc:subject>3.6 Ethical considerations and data privacy</dc:subject>
  <dc:creator>Darpan Kafle</dc:creator>
  <cp:keywords/>
  <dc:description>generated by python-docx</dc:description>
  <cp:lastModifiedBy>Aashik Basnet</cp:lastModifiedBy>
  <cp:revision>2</cp:revision>
  <dcterms:created xsi:type="dcterms:W3CDTF">2026-09-11T13:45:00Z</dcterms:created>
  <dcterms:modified xsi:type="dcterms:W3CDTF">2026-09-11T13:45:00Z</dcterms:modified>
  <cp:category/>
</cp:coreProperties>
</file>