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C96285" w14:textId="77777777" w:rsidR="006E351A" w:rsidRPr="00891E90" w:rsidRDefault="00000000" w:rsidP="00891E90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E90">
        <w:rPr>
          <w:rFonts w:ascii="Times New Roman" w:hAnsi="Times New Roman" w:cs="Times New Roman"/>
          <w:color w:val="000000" w:themeColor="text1"/>
          <w:sz w:val="24"/>
          <w:szCs w:val="24"/>
        </w:rPr>
        <w:t>2.5 Logical view of the system</w:t>
      </w:r>
    </w:p>
    <w:p w14:paraId="2BD55AE4" w14:textId="77777777" w:rsidR="006E351A" w:rsidRPr="00891E90" w:rsidRDefault="00000000" w:rsidP="00891E9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E90">
        <w:rPr>
          <w:rFonts w:ascii="Times New Roman" w:hAnsi="Times New Roman" w:cs="Times New Roman"/>
          <w:color w:val="000000" w:themeColor="text1"/>
          <w:sz w:val="24"/>
          <w:szCs w:val="24"/>
        </w:rPr>
        <w:t>The logical view describes software responsibilities rather than physical hardware. It preserves the PHP MVC approach and connects the role-based interfaces to shared security controls and domain services. All named components below are design components; filenames in the traceability matrix are intended mappings, not files found in the repository.</w:t>
      </w:r>
    </w:p>
    <w:p w14:paraId="330C96C0" w14:textId="42F38E3E" w:rsidR="006E351A" w:rsidRPr="00891E90" w:rsidRDefault="00C15CE8" w:rsidP="00891E90">
      <w:pPr>
        <w:keepNext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5363CED" wp14:editId="7924DDE6">
            <wp:extent cx="5943600" cy="3653155"/>
            <wp:effectExtent l="0" t="0" r="0" b="4445"/>
            <wp:docPr id="181594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006E4" w14:textId="77777777" w:rsidR="006E351A" w:rsidRPr="00891E90" w:rsidRDefault="00000000" w:rsidP="00891E90">
      <w:pPr>
        <w:pStyle w:val="Caption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E90">
        <w:rPr>
          <w:rFonts w:ascii="Times New Roman" w:hAnsi="Times New Roman" w:cs="Times New Roman"/>
          <w:color w:val="000000" w:themeColor="text1"/>
          <w:sz w:val="24"/>
          <w:szCs w:val="24"/>
        </w:rPr>
        <w:t>Figure 1. Proposed logical decomposition, consistent with the documented PHP MVC architecture.</w:t>
      </w:r>
    </w:p>
    <w:p w14:paraId="6D1502B6" w14:textId="77777777" w:rsidR="006E351A" w:rsidRPr="00891E90" w:rsidRDefault="00000000" w:rsidP="00891E9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E90">
        <w:rPr>
          <w:rFonts w:ascii="Times New Roman" w:hAnsi="Times New Roman" w:cs="Times New Roman"/>
          <w:color w:val="000000" w:themeColor="text1"/>
          <w:sz w:val="24"/>
          <w:szCs w:val="24"/>
        </w:rPr>
        <w:t>Views display authorised data and collect user input. Controllers handle requests. Services coordinate clinical and inventory rules. Repositories perform parameterised database access. A transaction belongs at the service boundary because a collection changes several tables together.</w:t>
      </w:r>
    </w:p>
    <w:p w14:paraId="5A15EE8F" w14:textId="77777777" w:rsidR="006E351A" w:rsidRPr="00891E90" w:rsidRDefault="00000000" w:rsidP="00891E9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E90">
        <w:rPr>
          <w:rFonts w:ascii="Times New Roman" w:hAnsi="Times New Roman" w:cs="Times New Roman"/>
          <w:color w:val="000000" w:themeColor="text1"/>
          <w:sz w:val="24"/>
          <w:szCs w:val="24"/>
        </w:rPr>
        <w:t>Authentication, authorisation, input validation, encryption and audit handling apply across the application. Reporting reads only permitted records. Notification events are persisted with the core transaction and delivered after commit. AI and email/SMS failures must be visible but must not silently corrupt or reverse a completed stock transaction.</w:t>
      </w:r>
    </w:p>
    <w:p w14:paraId="0F554F2C" w14:textId="195D4A94" w:rsidR="006E351A" w:rsidRPr="00891E90" w:rsidRDefault="006E351A" w:rsidP="00891E90">
      <w:pPr>
        <w:spacing w:after="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6E351A" w:rsidRPr="00891E90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3E320D" w14:textId="77777777" w:rsidR="00A21C63" w:rsidRDefault="00A21C63">
      <w:pPr>
        <w:spacing w:after="0" w:line="240" w:lineRule="auto"/>
      </w:pPr>
      <w:r>
        <w:separator/>
      </w:r>
    </w:p>
  </w:endnote>
  <w:endnote w:type="continuationSeparator" w:id="0">
    <w:p w14:paraId="39400C68" w14:textId="77777777" w:rsidR="00A21C63" w:rsidRDefault="00A21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A77C58" w14:textId="7387C2B5" w:rsidR="006E351A" w:rsidRDefault="006E351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841042" w14:textId="77777777" w:rsidR="00A21C63" w:rsidRDefault="00A21C63">
      <w:pPr>
        <w:spacing w:after="0" w:line="240" w:lineRule="auto"/>
      </w:pPr>
      <w:r>
        <w:separator/>
      </w:r>
    </w:p>
  </w:footnote>
  <w:footnote w:type="continuationSeparator" w:id="0">
    <w:p w14:paraId="1047C238" w14:textId="77777777" w:rsidR="00A21C63" w:rsidRDefault="00A21C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8795616">
    <w:abstractNumId w:val="8"/>
  </w:num>
  <w:num w:numId="2" w16cid:durableId="341052606">
    <w:abstractNumId w:val="6"/>
  </w:num>
  <w:num w:numId="3" w16cid:durableId="1404139685">
    <w:abstractNumId w:val="5"/>
  </w:num>
  <w:num w:numId="4" w16cid:durableId="1619482700">
    <w:abstractNumId w:val="4"/>
  </w:num>
  <w:num w:numId="5" w16cid:durableId="772942107">
    <w:abstractNumId w:val="7"/>
  </w:num>
  <w:num w:numId="6" w16cid:durableId="323895168">
    <w:abstractNumId w:val="3"/>
  </w:num>
  <w:num w:numId="7" w16cid:durableId="670065903">
    <w:abstractNumId w:val="2"/>
  </w:num>
  <w:num w:numId="8" w16cid:durableId="1408502432">
    <w:abstractNumId w:val="1"/>
  </w:num>
  <w:num w:numId="9" w16cid:durableId="5935884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B97"/>
    <w:rsid w:val="000D72F2"/>
    <w:rsid w:val="0015074B"/>
    <w:rsid w:val="0029639D"/>
    <w:rsid w:val="00326F90"/>
    <w:rsid w:val="006E351A"/>
    <w:rsid w:val="007864D1"/>
    <w:rsid w:val="00824A14"/>
    <w:rsid w:val="00891E90"/>
    <w:rsid w:val="00A21C63"/>
    <w:rsid w:val="00AA1D8D"/>
    <w:rsid w:val="00B47730"/>
    <w:rsid w:val="00C15C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E565BA"/>
  <w14:defaultImageDpi w14:val="300"/>
  <w15:docId w15:val="{EE097194-C8A4-6F43-856F-F208A5815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F4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/>
      <w:contextualSpacing/>
    </w:pPr>
    <w:rPr>
      <w:rFonts w:asciiTheme="majorHAnsi" w:eastAsiaTheme="majorEastAsia" w:hAnsiTheme="majorHAnsi" w:cstheme="majorBidi"/>
      <w:color w:val="1736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516A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80"/>
    </w:pPr>
    <w:rPr>
      <w:b/>
      <w:bCs/>
      <w:color w:val="516A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 #68 - SRS Section 2.5</dc:title>
  <dc:subject>2.5 Logical view of the system</dc:subject>
  <dc:creator>Darpan Kafle</dc:creator>
  <cp:keywords/>
  <dc:description>generated by python-docx</dc:description>
  <cp:lastModifiedBy>Aashik Basnet</cp:lastModifiedBy>
  <cp:revision>3</cp:revision>
  <dcterms:created xsi:type="dcterms:W3CDTF">2026-09-11T13:42:00Z</dcterms:created>
  <dcterms:modified xsi:type="dcterms:W3CDTF">2026-09-11T13:44:00Z</dcterms:modified>
  <cp:category/>
</cp:coreProperties>
</file>