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0A8D49" w14:textId="77777777" w:rsidR="000F50EA" w:rsidRPr="0047576C" w:rsidRDefault="00000000">
      <w:pPr>
        <w:pStyle w:val="Heading1"/>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2.4.4 Software used to connect and run database queries</w:t>
      </w:r>
    </w:p>
    <w:p w14:paraId="10DB0F20" w14:textId="77777777" w:rsidR="000F50EA" w:rsidRPr="0047576C" w:rsidRDefault="00000000">
      <w:pPr>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PHP is the server-side language. PDO with the MySQL driver is proposed as the database-access interface because no source code identifies an existing driver. phpMyAdmin is already documented for schema inspection and administration. It should be accessible only to authorised developers or database administrators, not doctors, patients or pharmacists.</w:t>
      </w:r>
    </w:p>
    <w:p w14:paraId="3EDFFDCA" w14:textId="77777777" w:rsidR="000F50EA" w:rsidRPr="0047576C" w:rsidRDefault="00000000">
      <w:pPr>
        <w:pStyle w:val="Heading2"/>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Request-to-query process</w:t>
      </w:r>
    </w:p>
    <w:p w14:paraId="32180CF2" w14:textId="77777777" w:rsidR="000F50EA" w:rsidRPr="0047576C" w:rsidRDefault="00000000">
      <w:pPr>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 xml:space="preserve">Request validation. </w:t>
      </w:r>
      <w:r w:rsidRPr="0047576C">
        <w:rPr>
          <w:rFonts w:ascii="Times New Roman" w:hAnsi="Times New Roman" w:cs="Times New Roman"/>
          <w:color w:val="000000" w:themeColor="text1"/>
          <w:sz w:val="24"/>
          <w:szCs w:val="24"/>
        </w:rPr>
        <w:t>A controller validates field types, required values and permitted status transitions. It derives the current user and pharmacy from trusted session data, rather than trusting a browser-supplied role or pharmacy ID.</w:t>
      </w:r>
    </w:p>
    <w:p w14:paraId="5FB55C3B" w14:textId="77777777" w:rsidR="000F50EA" w:rsidRPr="0047576C" w:rsidRDefault="00000000">
      <w:pPr>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 xml:space="preserve">Scoped access. </w:t>
      </w:r>
      <w:r w:rsidRPr="0047576C">
        <w:rPr>
          <w:rFonts w:ascii="Times New Roman" w:hAnsi="Times New Roman" w:cs="Times New Roman"/>
          <w:color w:val="000000" w:themeColor="text1"/>
          <w:sz w:val="24"/>
          <w:szCs w:val="24"/>
        </w:rPr>
        <w:t>An authorisation service checks both the Pharmacist role and access to the target pharmacy/prescription. The repository query repeats the pharmacy restriction so changing a record ID cannot reveal another pharmacy’s records.</w:t>
      </w:r>
    </w:p>
    <w:p w14:paraId="4BA025BD" w14:textId="3E4F5C08" w:rsidR="000F50EA" w:rsidRPr="0047576C" w:rsidRDefault="00000000">
      <w:pPr>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 xml:space="preserve">Prepared statements. </w:t>
      </w:r>
      <w:r w:rsidRPr="0047576C">
        <w:rPr>
          <w:rFonts w:ascii="Times New Roman" w:hAnsi="Times New Roman" w:cs="Times New Roman"/>
          <w:color w:val="000000" w:themeColor="text1"/>
          <w:sz w:val="24"/>
          <w:szCs w:val="24"/>
        </w:rPr>
        <w:t>The repository binds values to placeholders. Search values, IDs and dates must not be concatenated into SQL. Identifiers such as sort columns require an allowlist because value placeholders are not a substitute for SQL identifiers.</w:t>
      </w:r>
    </w:p>
    <w:p w14:paraId="59D4A97D" w14:textId="058A7381" w:rsidR="000F50EA" w:rsidRPr="0047576C" w:rsidRDefault="00000000">
      <w:pPr>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 xml:space="preserve">Safe updates. </w:t>
      </w:r>
      <w:r w:rsidRPr="0047576C">
        <w:rPr>
          <w:rFonts w:ascii="Times New Roman" w:hAnsi="Times New Roman" w:cs="Times New Roman"/>
          <w:color w:val="000000" w:themeColor="text1"/>
          <w:sz w:val="24"/>
          <w:szCs w:val="24"/>
        </w:rPr>
        <w:t xml:space="preserve">The application begins a transaction, locks the relevant rows, rechecks current state, makes all linked writes and then commits. Any validation or database failure rolls back the unit of work. Deadlocks need a bounded retry of the complete transaction, not a partial replay. </w:t>
      </w:r>
    </w:p>
    <w:p w14:paraId="4E76F47B" w14:textId="77777777" w:rsidR="000F50EA" w:rsidRPr="0047576C" w:rsidRDefault="00000000">
      <w:pPr>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 xml:space="preserve">Response and logging. </w:t>
      </w:r>
      <w:r w:rsidRPr="0047576C">
        <w:rPr>
          <w:rFonts w:ascii="Times New Roman" w:hAnsi="Times New Roman" w:cs="Times New Roman"/>
          <w:color w:val="000000" w:themeColor="text1"/>
          <w:sz w:val="24"/>
          <w:szCs w:val="24"/>
        </w:rPr>
        <w:t>The controller returns a clear success or conflict response. Detailed database errors are recorded in protected operational logs; passwords, tokens, diagnosis text and raw SQL parameter values are excluded.</w:t>
      </w:r>
    </w:p>
    <w:p w14:paraId="448DE4E1" w14:textId="77777777" w:rsidR="000F50EA" w:rsidRPr="0047576C" w:rsidRDefault="00000000">
      <w:pPr>
        <w:pStyle w:val="Heading2"/>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Example query contract</w:t>
      </w:r>
    </w:p>
    <w:tbl>
      <w:tblPr>
        <w:tblW w:w="9360" w:type="dxa"/>
        <w:tblInd w:w="120" w:type="dxa"/>
        <w:tblBorders>
          <w:top w:val="single" w:sz="4" w:space="0" w:color="D4DEE5"/>
          <w:left w:val="single" w:sz="4" w:space="0" w:color="D4DEE5"/>
          <w:bottom w:val="single" w:sz="4" w:space="0" w:color="D4DEE5"/>
          <w:right w:val="single" w:sz="4" w:space="0" w:color="D4DEE5"/>
          <w:insideH w:val="single" w:sz="4" w:space="0" w:color="D4DEE5"/>
          <w:insideV w:val="single" w:sz="4" w:space="0" w:color="D4DEE5"/>
        </w:tblBorders>
        <w:tblLayout w:type="fixed"/>
        <w:tblCellMar>
          <w:top w:w="80" w:type="dxa"/>
          <w:left w:w="120" w:type="dxa"/>
          <w:bottom w:w="80" w:type="dxa"/>
          <w:right w:w="120" w:type="dxa"/>
        </w:tblCellMar>
        <w:tblLook w:val="04A0" w:firstRow="1" w:lastRow="0" w:firstColumn="1" w:lastColumn="0" w:noHBand="0" w:noVBand="1"/>
      </w:tblPr>
      <w:tblGrid>
        <w:gridCol w:w="2900"/>
        <w:gridCol w:w="6460"/>
      </w:tblGrid>
      <w:tr w:rsidR="000F50EA" w:rsidRPr="0047576C" w14:paraId="77C59588" w14:textId="77777777">
        <w:trPr>
          <w:cantSplit/>
          <w:tblHeader/>
        </w:trPr>
        <w:tc>
          <w:tcPr>
            <w:tcW w:w="2900" w:type="dxa"/>
            <w:shd w:val="clear" w:color="auto" w:fill="F2F4F7"/>
            <w:vAlign w:val="center"/>
          </w:tcPr>
          <w:p w14:paraId="12926F8C"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Operation</w:t>
            </w:r>
          </w:p>
        </w:tc>
        <w:tc>
          <w:tcPr>
            <w:tcW w:w="6460" w:type="dxa"/>
            <w:shd w:val="clear" w:color="auto" w:fill="F2F4F7"/>
            <w:vAlign w:val="center"/>
          </w:tcPr>
          <w:p w14:paraId="16CDFF3D"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b/>
                <w:color w:val="000000" w:themeColor="text1"/>
                <w:sz w:val="24"/>
                <w:szCs w:val="24"/>
              </w:rPr>
              <w:t>Required query behaviour</w:t>
            </w:r>
          </w:p>
        </w:tc>
      </w:tr>
      <w:tr w:rsidR="000F50EA" w:rsidRPr="0047576C" w14:paraId="4D385186" w14:textId="77777777">
        <w:trPr>
          <w:cantSplit/>
        </w:trPr>
        <w:tc>
          <w:tcPr>
            <w:tcW w:w="2900" w:type="dxa"/>
            <w:vAlign w:val="center"/>
          </w:tcPr>
          <w:p w14:paraId="72068275"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Assigned prescriptions</w:t>
            </w:r>
          </w:p>
        </w:tc>
        <w:tc>
          <w:tcPr>
            <w:tcW w:w="6460" w:type="dxa"/>
            <w:vAlign w:val="center"/>
          </w:tcPr>
          <w:p w14:paraId="7EC7ACAC"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Join prescription_assignment to prescription; restrict to the active pharmacy and active assignments; apply search, status and pagination.</w:t>
            </w:r>
          </w:p>
        </w:tc>
      </w:tr>
      <w:tr w:rsidR="000F50EA" w:rsidRPr="0047576C" w14:paraId="7EBC7B13" w14:textId="77777777">
        <w:trPr>
          <w:cantSplit/>
        </w:trPr>
        <w:tc>
          <w:tcPr>
            <w:tcW w:w="2900" w:type="dxa"/>
            <w:vAlign w:val="center"/>
          </w:tcPr>
          <w:p w14:paraId="049C5215"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Batch availability</w:t>
            </w:r>
          </w:p>
        </w:tc>
        <w:tc>
          <w:tcPr>
            <w:tcW w:w="6460" w:type="dxa"/>
            <w:vAlign w:val="center"/>
          </w:tcPr>
          <w:p w14:paraId="7C059F48"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Read unexpired, non-quarantined batches in the current pharmacy; subtract active reservations from physical stock.</w:t>
            </w:r>
          </w:p>
        </w:tc>
      </w:tr>
      <w:tr w:rsidR="000F50EA" w:rsidRPr="0047576C" w14:paraId="3AACB6AF" w14:textId="77777777">
        <w:trPr>
          <w:cantSplit/>
        </w:trPr>
        <w:tc>
          <w:tcPr>
            <w:tcW w:w="2900" w:type="dxa"/>
            <w:vAlign w:val="center"/>
          </w:tcPr>
          <w:p w14:paraId="1FCA73BA"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Collection</w:t>
            </w:r>
          </w:p>
        </w:tc>
        <w:tc>
          <w:tcPr>
            <w:tcW w:w="6460" w:type="dxa"/>
            <w:vAlign w:val="center"/>
          </w:tcPr>
          <w:p w14:paraId="34C668BC"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Use one transaction for dispensing, item allocation, reservation consumption, stock movement and audit event.</w:t>
            </w:r>
          </w:p>
        </w:tc>
      </w:tr>
      <w:tr w:rsidR="000F50EA" w:rsidRPr="0047576C" w14:paraId="7F238AD0" w14:textId="77777777">
        <w:trPr>
          <w:cantSplit/>
        </w:trPr>
        <w:tc>
          <w:tcPr>
            <w:tcW w:w="2900" w:type="dxa"/>
            <w:vAlign w:val="center"/>
          </w:tcPr>
          <w:p w14:paraId="0EE92EDE"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Daily dispensing report</w:t>
            </w:r>
          </w:p>
        </w:tc>
        <w:tc>
          <w:tcPr>
            <w:tcW w:w="6460" w:type="dxa"/>
            <w:vAlign w:val="center"/>
          </w:tcPr>
          <w:p w14:paraId="22B7C594" w14:textId="77777777" w:rsidR="000F50EA" w:rsidRPr="0047576C" w:rsidRDefault="00000000">
            <w:pPr>
              <w:spacing w:after="60"/>
              <w:rPr>
                <w:rFonts w:ascii="Times New Roman" w:hAnsi="Times New Roman" w:cs="Times New Roman"/>
                <w:color w:val="000000" w:themeColor="text1"/>
                <w:sz w:val="24"/>
                <w:szCs w:val="24"/>
              </w:rPr>
            </w:pPr>
            <w:r w:rsidRPr="0047576C">
              <w:rPr>
                <w:rFonts w:ascii="Times New Roman" w:hAnsi="Times New Roman" w:cs="Times New Roman"/>
                <w:color w:val="000000" w:themeColor="text1"/>
                <w:sz w:val="24"/>
                <w:szCs w:val="24"/>
              </w:rPr>
              <w:t>Filter Collected records by pharmacy and a half-open timestamp range derived from the selected clinic-local dates.</w:t>
            </w:r>
          </w:p>
        </w:tc>
      </w:tr>
    </w:tbl>
    <w:p w14:paraId="640F7658" w14:textId="61EDB4B9" w:rsidR="000F50EA" w:rsidRPr="0047576C" w:rsidRDefault="000F50EA">
      <w:pPr>
        <w:spacing w:after="80"/>
        <w:rPr>
          <w:rFonts w:ascii="Times New Roman" w:hAnsi="Times New Roman" w:cs="Times New Roman"/>
          <w:color w:val="000000" w:themeColor="text1"/>
          <w:sz w:val="24"/>
          <w:szCs w:val="24"/>
        </w:rPr>
      </w:pPr>
    </w:p>
    <w:sectPr w:rsidR="000F50EA" w:rsidRPr="0047576C"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2D6E3D" w14:textId="77777777" w:rsidR="00A13C88" w:rsidRDefault="00A13C88">
      <w:pPr>
        <w:spacing w:after="0" w:line="240" w:lineRule="auto"/>
      </w:pPr>
      <w:r>
        <w:separator/>
      </w:r>
    </w:p>
  </w:endnote>
  <w:endnote w:type="continuationSeparator" w:id="0">
    <w:p w14:paraId="4AEA8954" w14:textId="77777777" w:rsidR="00A13C88" w:rsidRDefault="00A1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31905" w14:textId="5F5DBAFF" w:rsidR="000F50EA" w:rsidRDefault="000F50E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B86A25" w14:textId="77777777" w:rsidR="00A13C88" w:rsidRDefault="00A13C88">
      <w:pPr>
        <w:spacing w:after="0" w:line="240" w:lineRule="auto"/>
      </w:pPr>
      <w:r>
        <w:separator/>
      </w:r>
    </w:p>
  </w:footnote>
  <w:footnote w:type="continuationSeparator" w:id="0">
    <w:p w14:paraId="1260E958" w14:textId="77777777" w:rsidR="00A13C88" w:rsidRDefault="00A13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567819">
    <w:abstractNumId w:val="8"/>
  </w:num>
  <w:num w:numId="2" w16cid:durableId="1171604462">
    <w:abstractNumId w:val="6"/>
  </w:num>
  <w:num w:numId="3" w16cid:durableId="769817331">
    <w:abstractNumId w:val="5"/>
  </w:num>
  <w:num w:numId="4" w16cid:durableId="1123302721">
    <w:abstractNumId w:val="4"/>
  </w:num>
  <w:num w:numId="5" w16cid:durableId="1497529911">
    <w:abstractNumId w:val="7"/>
  </w:num>
  <w:num w:numId="6" w16cid:durableId="1244607841">
    <w:abstractNumId w:val="3"/>
  </w:num>
  <w:num w:numId="7" w16cid:durableId="796141750">
    <w:abstractNumId w:val="2"/>
  </w:num>
  <w:num w:numId="8" w16cid:durableId="856390977">
    <w:abstractNumId w:val="1"/>
  </w:num>
  <w:num w:numId="9" w16cid:durableId="192499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B97"/>
    <w:rsid w:val="000F50EA"/>
    <w:rsid w:val="0015074B"/>
    <w:rsid w:val="00226227"/>
    <w:rsid w:val="0029639D"/>
    <w:rsid w:val="00326F90"/>
    <w:rsid w:val="0047576C"/>
    <w:rsid w:val="004A4D43"/>
    <w:rsid w:val="007864D1"/>
    <w:rsid w:val="00A13C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A1266"/>
  <w14:defaultImageDpi w14:val="300"/>
  <w15:docId w15:val="{EE097194-C8A4-6F43-856F-F208A581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F4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color w:val="17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516A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pPr>
    <w:rPr>
      <w:b/>
      <w:bCs/>
      <w:color w:val="516A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#67 - SRS Section 2.4.4</dc:title>
  <dc:subject>2.4.4 Software used to connect and run database queries</dc:subject>
  <dc:creator>Darpan Kafle</dc:creator>
  <cp:keywords/>
  <dc:description>generated by python-docx</dc:description>
  <cp:lastModifiedBy>Aashik Basnet</cp:lastModifiedBy>
  <cp:revision>2</cp:revision>
  <dcterms:created xsi:type="dcterms:W3CDTF">2026-09-11T13:39:00Z</dcterms:created>
  <dcterms:modified xsi:type="dcterms:W3CDTF">2026-09-11T13:39:00Z</dcterms:modified>
  <cp:category/>
</cp:coreProperties>
</file>