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B7A5" w14:textId="77777777" w:rsidR="00D22387" w:rsidRDefault="00000000">
      <w:pPr>
        <w:spacing w:after="80" w:before="0" w:line="240" w:lineRule="auto"/>
        <w:jc w:val="center"/>
      </w:pPr>
      <w:r>
        <w:rPr>
          <w:b/>
          <w:bCs/>
          <w:color w:val="1F3864"/>
          <w:sz w:val="32"/>
          <w:szCs w:val="32"/>
        </w:rPr>
        <w:t>Retail Profitability Analysis</w:t>
      </w:r>
    </w:p>
    <w:p w14:paraId="40100CE8" w14:textId="77777777" w:rsidR="00D22387" w:rsidRDefault="00000000">
      <w:pPr>
        <w:spacing w:after="80" w:before="0" w:line="240" w:lineRule="auto"/>
        <w:jc w:val="center"/>
      </w:pPr>
      <w:r>
        <w:rPr>
          <w:b/>
          <w:i/>
          <w:iCs/>
          <w:color w:val="595959"/>
          <w:sz w:val="22"/>
        </w:rPr>
        <w:t>Executive Summary — Key Drivers of Profit Margin</w:t>
      </w:r>
    </w:p>
    <w:p w14:paraId="42CC0390" w14:textId="77777777" w:rsidR="00D22387" w:rsidRDefault="00000000">
      <w:pPr>
        <w:pStyle w:val="Heading2"/>
        <w:spacing w:before="0" w:after="80" w:line="240" w:lineRule="auto"/>
      </w:pPr>
      <w:r>
        <w:rPr>
          <w:b/>
          <w:bCs/>
          <w:color w:val="1F3864"/>
        </w:rPr>
        <w:t>Business Context</w:t>
      </w:r>
    </w:p>
    <w:p w14:paraId="27B178A4" w14:textId="77777777" w:rsidR="00D22387" w:rsidRDefault="00000000">
      <w:pPr>
        <w:spacing w:after="80" w:line="240" w:lineRule="auto" w:before="0"/>
      </w:pPr>
      <w:r>
        <w:t xml:space="preserve">This analysis examines the drivers of profit margin across 5,009 orders, four regions, and three product categories. Overall revenue reached $2.30M at a company-wide margin of 12.5% — but that average masks sharp differences underneath. The goal was to identify which factors are actually associated with margin loss, so discounting and regional strategy can be adjusted with evidence.</w:t>
      </w:r>
    </w:p>
    <w:p w14:paraId="5E6DF070" w14:textId="77777777" w:rsidR="00D22387" w:rsidRDefault="00000000">
      <w:pPr>
        <w:pStyle w:val="Heading2"/>
        <w:spacing w:before="0" w:after="80" w:line="240" w:lineRule="auto"/>
      </w:pPr>
      <w:r>
        <w:rPr>
          <w:b/>
          <w:bCs/>
          <w:color w:val="1F3864"/>
        </w:rPr>
        <w:t>Key Findings</w:t>
      </w:r>
    </w:p>
    <w:p w14:paraId="3AADCFC1" w14:textId="77777777" w:rsidR="00D22387" w:rsidRDefault="00000000">
      <w:pPr>
        <w:spacing w:before="0" w:after="80" w:line="240" w:lineRule="auto"/>
      </w:pPr>
      <w:r>
        <w:rPr>
          <w:b/>
          <w:bCs/>
          <w:color w:val="1F3864"/>
          <w:sz w:val="20"/>
          <w:szCs w:val="23"/>
        </w:rPr>
        <w:t>1. Discounting is the single strongest driver of margin loss.</w:t>
      </w:r>
    </w:p>
    <w:p w14:paraId="3907FB80" w14:textId="77777777" w:rsidR="00D22387" w:rsidRDefault="00000000">
      <w:pPr>
        <w:spacing w:after="80" w:line="240" w:lineRule="auto" w:before="0"/>
      </w:pPr>
      <w:r>
        <w:t>Margin declines steadily as discount level rises, turning negative once discounts exceed roughly 20% — falling to approximately -77% at the 41%+ tier. The pattern holds across all regions and categories (n = 5,009).</w:t>
      </w:r>
    </w:p>
    <w:p w14:paraId="024835EB" w14:textId="7265DE1C" w:rsidR="00D22387" w:rsidRDefault="00000000">
      <w:pPr>
        <w:shd w:val="clear" w:color="auto" w:fill="FAFAFA"/>
        <w:spacing w:before="0" w:after="80" w:line="240" w:lineRule="auto"/>
        <w:jc w:val="center"/>
      </w:pPr>
      <w:r>
        <w:rPr>
          <w:noProof/>
        </w:rPr>
        <w:drawing>
          <wp:inline distT="0" distB="0" distL="0" distR="0" wp14:anchorId="4906B9F4" wp14:editId="710A1030">
            <wp:extent cx="6385560" cy="2423160"/>
            <wp:effectExtent l="0" t="0" r="15240" b="15240"/>
            <wp:docPr id="9604324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BAEE2A-EB2E-8766-E6C0-ADAB7BCEB4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74938BD" w14:textId="77777777" w:rsidR="00D22387" w:rsidRDefault="00000000">
      <w:pPr>
        <w:spacing w:after="80" w:before="0" w:line="240" w:lineRule="auto"/>
      </w:pPr>
      <w:r>
        <w:rPr>
          <w:b/>
          <w:bCs/>
          <w:color w:val="595959"/>
          <w:sz w:val="18"/>
        </w:rPr>
        <w:t xml:space="preserve">Business Implication: </w:t>
      </w:r>
      <w:r>
        <w:rPr>
          <w:sz w:val="18"/>
        </w:rPr>
        <w:t>Discounts above ~20% are associated with orders that lose money outright. Approval above this threshold should require explicit review rather than routine practice.</w:t>
      </w:r>
    </w:p>
    <w:p w14:paraId="3F125F43" w14:textId="77777777" w:rsidR="00D22387" w:rsidRDefault="00000000">
      <w:pPr>
        <w:spacing w:before="0" w:after="80" w:line="240" w:lineRule="auto"/>
      </w:pPr>
      <w:r>
        <w:rPr>
          <w:b/>
          <w:bCs/>
          <w:color w:val="1F3864"/>
          <w:sz w:val="20"/>
          <w:szCs w:val="23"/>
        </w:rPr>
        <w:t>2. Returns are concentrated in one region, not spread evenly.</w:t>
      </w:r>
    </w:p>
    <w:p w14:paraId="3EDD6B73" w14:textId="77777777" w:rsidR="00D22387" w:rsidRDefault="00000000">
      <w:pPr>
        <w:spacing w:after="80" w:line="240" w:lineRule="auto" w:before="0"/>
      </w:pPr>
      <w:r>
        <w:t>The West region shows a return rate of approximately 12%, roughly four times the Central, East, and South regions, which each sit near 3%. The concentration is regional, not tied to a single product line.</w:t>
      </w:r>
    </w:p>
    <w:p w14:paraId="4F6FFA03" w14:textId="174E3290" w:rsidR="00D22387" w:rsidRDefault="005D24C9">
      <w:pPr>
        <w:shd w:val="clear" w:color="auto" w:fill="FAFAFA"/>
        <w:spacing w:before="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D6DBEA" wp14:editId="35E9F326">
            <wp:extent cx="6324600" cy="2778760"/>
            <wp:effectExtent l="0" t="0" r="0" b="2540"/>
            <wp:docPr id="4549524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8B7221F-49A3-5D64-16C6-4D8481C7FE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5D719C3" w14:textId="77777777" w:rsidR="00D22387" w:rsidRDefault="00000000">
      <w:pPr>
        <w:spacing w:after="80" w:before="0" w:line="240" w:lineRule="auto"/>
      </w:pPr>
      <w:r>
        <w:rPr>
          <w:b/>
          <w:bCs/>
          <w:color w:val="595959"/>
          <w:sz w:val="18"/>
        </w:rPr>
        <w:t xml:space="preserve">Business Implication: </w:t>
      </w:r>
      <w:r>
        <w:rPr>
          <w:sz w:val="18"/>
        </w:rPr>
        <w:t>The root cause is more likely local fulfillment, logistics, or service factors in West — worth a targeted operational review rather than a company-wide policy change.</w:t>
      </w:r>
    </w:p>
    <w:p w14:paraId="78040B0E" w14:textId="77777777" w:rsidR="00D22387" w:rsidRDefault="00000000">
      <w:pPr>
        <w:spacing w:before="0" w:after="80" w:line="240" w:lineRule="auto"/>
      </w:pPr>
      <w:r>
        <w:rPr>
          <w:b/>
          <w:bCs/>
          <w:color w:val="1F3864"/>
          <w:sz w:val="20"/>
          <w:szCs w:val="23"/>
        </w:rPr>
        <w:t>3. Central region's weak margin is explained by discounting, not location.</w:t>
      </w:r>
    </w:p>
    <w:p w14:paraId="4E290149" w14:textId="77777777" w:rsidR="00D22387" w:rsidRDefault="00000000">
      <w:pPr>
        <w:spacing w:after="80" w:line="240" w:lineRule="auto" w:before="0"/>
      </w:pPr>
      <w:r>
        <w:t>Central shows the lowest regional margin (~8%) despite meaningful revenue ($501K). Diagnostic analysis traced this to a concentration of high discounts (41%+) in Central specifically — not weaker demand or higher costs.</w:t>
      </w:r>
    </w:p>
    <w:p w14:paraId="16232843" w14:textId="2B37BD47" w:rsidR="00D22387" w:rsidRDefault="005D24C9">
      <w:pPr>
        <w:shd w:val="clear" w:color="auto" w:fill="FAFAFA"/>
        <w:spacing w:before="0" w:after="80" w:line="240" w:lineRule="auto"/>
        <w:jc w:val="center"/>
      </w:pPr>
      <w:r>
        <w:rPr>
          <w:noProof/>
        </w:rPr>
        <w:drawing>
          <wp:inline distT="0" distB="0" distL="0" distR="0" wp14:anchorId="344CAE52" wp14:editId="68A0B003">
            <wp:extent cx="6446520" cy="2362200"/>
            <wp:effectExtent l="0" t="0" r="11430" b="0"/>
            <wp:docPr id="11124379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FBADBFD-AC88-9885-5290-258109E314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DCC448A" w14:textId="77777777" w:rsidR="00D22387" w:rsidRDefault="00000000">
      <w:pPr>
        <w:spacing w:after="80" w:before="0" w:line="240" w:lineRule="auto"/>
      </w:pPr>
      <w:r>
        <w:rPr>
          <w:b/>
          <w:bCs/>
          <w:color w:val="595959"/>
          <w:sz w:val="18"/>
        </w:rPr>
        <w:t xml:space="preserve">Business Implication: </w:t>
      </w:r>
      <w:r>
        <w:rPr>
          <w:sz w:val="18"/>
        </w:rPr>
        <w:t>Central's underperformance is controllable and discount-driven, not structural. Tightening discount practices there is likely to recover margin without affecting sales volume.</w:t>
      </w:r>
    </w:p>
    <w:p w14:paraId="006E56CD" w14:textId="77777777" w:rsidR="00D22387" w:rsidRDefault="00000000">
      <w:pPr>
        <w:pStyle w:val="Heading2"/>
        <w:spacing w:before="0" w:after="80" w:line="240" w:lineRule="auto"/>
      </w:pPr>
      <w:r>
        <w:rPr>
          <w:b/>
          <w:bCs/>
          <w:color w:val="1F3864"/>
          <w:sz w:val="20"/>
        </w:rPr>
        <w:t>Also Tested — No Significant Pattern Found</w:t>
      </w:r>
    </w:p>
    <w:p w14:paraId="2404A2D5" w14:textId="77777777" w:rsidR="00D22387" w:rsidRDefault="00000000">
      <w:pPr>
        <w:spacing w:after="80" w:line="240" w:lineRule="auto" w:before="0"/>
      </w:pPr>
      <w:r>
        <w:t>Two additional hypotheses were tested with the same rigor and were not supported:</w:t>
      </w:r>
    </w:p>
    <w:p w14:paraId="60E78D3C" w14:textId="77777777" w:rsidR="00D22387" w:rsidRDefault="00000000">
      <w:pPr>
        <w:pStyle w:val="ListParagraph"/>
        <w:numPr>
          <w:ilvl w:val="0"/>
          <w:numId w:val="1"/>
        </w:numPr>
        <w:spacing w:after="80" w:line="240" w:lineRule="auto" w:before="0"/>
      </w:pPr>
      <w:r>
        <w:t>Shipping cost: no consistent relationship with margin.</w:t>
      </w:r>
    </w:p>
    <w:p w14:paraId="2E22238F" w14:textId="77777777" w:rsidR="00D22387" w:rsidRDefault="00000000">
      <w:pPr>
        <w:pStyle w:val="ListParagraph"/>
        <w:numPr>
          <w:ilvl w:val="0"/>
          <w:numId w:val="1"/>
        </w:numPr>
        <w:spacing w:after="80" w:line="240" w:lineRule="auto" w:before="0"/>
      </w:pPr>
      <w:r>
        <w:t>Shipping method: differences in margin and return rate across methods were negligible.</w:t>
      </w:r>
    </w:p>
    <w:p w14:paraId="6EBADE31" w14:textId="77777777" w:rsidR="00D22387" w:rsidRDefault="00000000">
      <w:pPr>
        <w:spacing w:after="80" w:line="240" w:lineRule="auto" w:before="0"/>
      </w:pPr>
      <w:r>
        <w:rPr>
          <w:i/>
          <w:iCs/>
          <w:color w:val="595959"/>
          <w:sz w:val="20"/>
          <w:szCs w:val="20"/>
        </w:rPr>
        <w:t>Reported for completeness — ruling out a factor is a valid outcome and prevents wasted effort on a non-issue.</w:t>
      </w:r>
    </w:p>
    <w:p w14:paraId="11EAF551" w14:textId="77777777" w:rsidR="00D22387" w:rsidRDefault="00000000">
      <w:pPr>
        <w:pStyle w:val="Heading2"/>
        <w:spacing w:before="0" w:after="80" w:line="240" w:lineRule="auto"/>
      </w:pPr>
      <w:r>
        <w:rPr>
          <w:b/>
          <w:bCs/>
          <w:color w:val="1F3864"/>
          <w:sz w:val="20"/>
        </w:rPr>
        <w:t>Recommendations</w:t>
      </w:r>
    </w:p>
    <w:p w14:paraId="7DD1CD1C" w14:textId="77777777" w:rsidR="00D22387" w:rsidRDefault="00000000">
      <w:pPr>
        <w:pStyle w:val="ListParagraph"/>
        <w:numPr>
          <w:ilvl w:val="0"/>
          <w:numId w:val="1"/>
        </w:numPr>
        <w:spacing w:after="80" w:line="240" w:lineRule="auto" w:before="0"/>
      </w:pPr>
      <w:r>
        <w:lastRenderedPageBreak/>
        <w:t>Set a discount approval threshold at ~20%: discounts above this level should require explicit sign-off, given their consistent association with negative margin.</w:t>
      </w:r>
    </w:p>
    <w:p w14:paraId="74B69D36" w14:textId="77777777" w:rsidR="00D22387" w:rsidRDefault="00000000">
      <w:pPr>
        <w:pStyle w:val="ListParagraph"/>
        <w:numPr>
          <w:ilvl w:val="0"/>
          <w:numId w:val="1"/>
        </w:numPr>
        <w:spacing w:after="80" w:line="240" w:lineRule="auto" w:before="0"/>
      </w:pPr>
      <w:r>
        <w:t>Open a targeted operational review of return drivers in the West region specifically, rather than adjusting national returns policy.</w:t>
      </w:r>
    </w:p>
    <w:p w14:paraId="1CBA0C24" w14:textId="77777777" w:rsidR="00D22387" w:rsidRDefault="00000000">
      <w:pPr>
        <w:pStyle w:val="ListParagraph"/>
        <w:numPr>
          <w:ilvl w:val="0"/>
          <w:numId w:val="1"/>
        </w:numPr>
        <w:spacing w:after="80" w:line="240" w:lineRule="auto" w:before="0"/>
      </w:pPr>
      <w:r>
        <w:t>Audit discount authorization practices in the Central region as the most direct lever to recover its underperforming margin.</w:t>
      </w:r>
    </w:p>
    <w:p w14:paraId="28708DBB" w14:textId="77777777" w:rsidR="00D22387" w:rsidRDefault="00000000">
      <w:pPr>
        <w:pBdr>
          <w:top w:val="single" w:sz="4" w:space="0" w:color="CCCCCC"/>
        </w:pBdr>
        <w:spacing w:before="0" w:line="240" w:lineRule="auto" w:after="80"/>
      </w:pPr>
      <w:r>
        <w:rPr>
          <w:b/>
          <w:bCs/>
          <w:color w:val="595959"/>
          <w:sz w:val="19"/>
          <w:szCs w:val="19"/>
        </w:rPr>
        <w:t xml:space="preserve">Methodology: </w:t>
      </w:r>
      <w:r>
        <w:rPr>
          <w:i/>
          <w:iCs/>
          <w:color w:val="595959"/>
          <w:sz w:val="19"/>
          <w:szCs w:val="19"/>
        </w:rPr>
        <w:t>Findings are based on the full dataset (5,009 orders) unless noted; every relationship is a statistical association, not proven causation. Full testing detail and the interactive dashboard are available in the accompanying project files.</w:t>
      </w:r>
    </w:p>
    <w:sectPr w:rsidR="00D22387">
      <w:headerReference w:type="default" r:id="rId11"/>
      <w:footerReference w:type="default" r:id="rId12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E2DE7" w14:textId="77777777" w:rsidR="00707483" w:rsidRDefault="00707483">
      <w:r>
        <w:separator/>
      </w:r>
    </w:p>
  </w:endnote>
  <w:endnote w:type="continuationSeparator" w:id="0">
    <w:p w14:paraId="1194000D" w14:textId="77777777" w:rsidR="00707483" w:rsidRDefault="00707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81918" w14:textId="77777777" w:rsidR="00D22387" w:rsidRDefault="00000000">
    <w:pPr>
      <w:spacing w:before="0" w:after="0"/>
      <w:jc w:val="center"/>
    </w:pPr>
    <w:r>
      <w:rPr>
        <w:color w:val="999999"/>
        <w:sz w:val="16"/>
        <w:szCs w:val="16"/>
      </w:rPr>
      <w:t xml:space="preserve">Prepared by Mekdad </w:t>
    </w:r>
    <w:proofErr w:type="gramStart"/>
    <w:r>
      <w:rPr>
        <w:color w:val="999999"/>
        <w:sz w:val="16"/>
        <w:szCs w:val="16"/>
      </w:rPr>
      <w:t>Muhajer  |</w:t>
    </w:r>
    <w:proofErr w:type="gramEnd"/>
    <w:r>
      <w:rPr>
        <w:color w:val="999999"/>
        <w:sz w:val="16"/>
        <w:szCs w:val="16"/>
      </w:rPr>
      <w:t xml:space="preserve">  Data source: Superstore Dataset (5,009 </w:t>
    </w:r>
    <w:proofErr w:type="gramStart"/>
    <w:r>
      <w:rPr>
        <w:color w:val="999999"/>
        <w:sz w:val="16"/>
        <w:szCs w:val="16"/>
      </w:rPr>
      <w:t>orders)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D24C9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E4734" w14:textId="77777777" w:rsidR="00707483" w:rsidRDefault="00707483">
      <w:r>
        <w:separator/>
      </w:r>
    </w:p>
  </w:footnote>
  <w:footnote w:type="continuationSeparator" w:id="0">
    <w:p w14:paraId="31156068" w14:textId="77777777" w:rsidR="00707483" w:rsidRDefault="00707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812B" w14:textId="77777777" w:rsidR="00D22387" w:rsidRDefault="00000000">
    <w:pPr>
      <w:spacing w:before="0" w:after="0"/>
      <w:jc w:val="right"/>
    </w:pPr>
    <w:r>
      <w:rPr>
        <w:color w:val="999999"/>
        <w:sz w:val="16"/>
        <w:szCs w:val="16"/>
      </w:rPr>
      <w:t>Retail Profitability Analysis — Executive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226A5"/>
    <w:multiLevelType w:val="hybridMultilevel"/>
    <w:tmpl w:val="9C5057A2"/>
    <w:lvl w:ilvl="0" w:tplc="6B28582A">
      <w:start w:val="1"/>
      <w:numFmt w:val="bullet"/>
      <w:lvlText w:val="●"/>
      <w:lvlJc w:val="left"/>
      <w:pPr>
        <w:ind w:left="720" w:hanging="360"/>
      </w:pPr>
    </w:lvl>
    <w:lvl w:ilvl="1" w:tplc="BA421D00">
      <w:start w:val="1"/>
      <w:numFmt w:val="bullet"/>
      <w:lvlText w:val="○"/>
      <w:lvlJc w:val="left"/>
      <w:pPr>
        <w:ind w:left="1440" w:hanging="360"/>
      </w:pPr>
    </w:lvl>
    <w:lvl w:ilvl="2" w:tplc="ED78C054">
      <w:start w:val="1"/>
      <w:numFmt w:val="bullet"/>
      <w:lvlText w:val="■"/>
      <w:lvlJc w:val="left"/>
      <w:pPr>
        <w:ind w:left="2160" w:hanging="360"/>
      </w:pPr>
    </w:lvl>
    <w:lvl w:ilvl="3" w:tplc="F1108C08">
      <w:start w:val="1"/>
      <w:numFmt w:val="bullet"/>
      <w:lvlText w:val="●"/>
      <w:lvlJc w:val="left"/>
      <w:pPr>
        <w:ind w:left="2880" w:hanging="360"/>
      </w:pPr>
    </w:lvl>
    <w:lvl w:ilvl="4" w:tplc="929630BE">
      <w:start w:val="1"/>
      <w:numFmt w:val="bullet"/>
      <w:lvlText w:val="○"/>
      <w:lvlJc w:val="left"/>
      <w:pPr>
        <w:ind w:left="3600" w:hanging="360"/>
      </w:pPr>
    </w:lvl>
    <w:lvl w:ilvl="5" w:tplc="37CABFCE">
      <w:start w:val="1"/>
      <w:numFmt w:val="bullet"/>
      <w:lvlText w:val="■"/>
      <w:lvlJc w:val="left"/>
      <w:pPr>
        <w:ind w:left="4320" w:hanging="360"/>
      </w:pPr>
    </w:lvl>
    <w:lvl w:ilvl="6" w:tplc="D78A4210">
      <w:start w:val="1"/>
      <w:numFmt w:val="bullet"/>
      <w:lvlText w:val="●"/>
      <w:lvlJc w:val="left"/>
      <w:pPr>
        <w:ind w:left="5040" w:hanging="360"/>
      </w:pPr>
    </w:lvl>
    <w:lvl w:ilvl="7" w:tplc="EAAA0B76">
      <w:start w:val="1"/>
      <w:numFmt w:val="bullet"/>
      <w:lvlText w:val="●"/>
      <w:lvlJc w:val="left"/>
      <w:pPr>
        <w:ind w:left="5760" w:hanging="360"/>
      </w:pPr>
    </w:lvl>
    <w:lvl w:ilvl="8" w:tplc="0A549000">
      <w:start w:val="1"/>
      <w:numFmt w:val="bullet"/>
      <w:lvlText w:val="●"/>
      <w:lvlJc w:val="left"/>
      <w:pPr>
        <w:ind w:left="6480" w:hanging="360"/>
      </w:pPr>
    </w:lvl>
  </w:abstractNum>
  <w:num w:numId="1" w16cid:durableId="627005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387"/>
    <w:rsid w:val="002B4FDC"/>
    <w:rsid w:val="005D24C9"/>
    <w:rsid w:val="00707483"/>
    <w:rsid w:val="007A6FEC"/>
    <w:rsid w:val="00D2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C72EE"/>
  <w15:docId w15:val="{4CB14861-4E4A-4F65-8F03-6A3D1FD79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Aptos" w:hAnsi="Aptos"/>
      <w:sz w:val="19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DECRYPT\OneDrive\Desktop\Excel%20project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DECRYPT\OneDrive\Desktop\Excel%20project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DECRYPT\OneDrive\Desktop\Excel%20project2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project2.xlsx]Pivot Tables!H1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Margin%</a:t>
            </a:r>
            <a:r>
              <a:rPr lang="en-US" baseline="0"/>
              <a:t> by Discount Bucket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 Tables'!$M$10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'Pivot Tables'!$L$11:$L$17</c:f>
              <c:strCache>
                <c:ptCount val="6"/>
                <c:pt idx="0">
                  <c:v>0%</c:v>
                </c:pt>
                <c:pt idx="1">
                  <c:v>1-10%</c:v>
                </c:pt>
                <c:pt idx="2">
                  <c:v>11-20%</c:v>
                </c:pt>
                <c:pt idx="3">
                  <c:v>21-30%</c:v>
                </c:pt>
                <c:pt idx="4">
                  <c:v>31-40%</c:v>
                </c:pt>
                <c:pt idx="5">
                  <c:v>41%+</c:v>
                </c:pt>
              </c:strCache>
            </c:strRef>
          </c:cat>
          <c:val>
            <c:numRef>
              <c:f>'Pivot Tables'!$M$11:$M$17</c:f>
              <c:numCache>
                <c:formatCode>0%</c:formatCode>
                <c:ptCount val="6"/>
                <c:pt idx="0">
                  <c:v>0.29505019222803031</c:v>
                </c:pt>
                <c:pt idx="1">
                  <c:v>0.16607108295259942</c:v>
                </c:pt>
                <c:pt idx="2">
                  <c:v>0.11583155059614207</c:v>
                </c:pt>
                <c:pt idx="3">
                  <c:v>-0.10045154906937563</c:v>
                </c:pt>
                <c:pt idx="4">
                  <c:v>-0.19439268588167435</c:v>
                </c:pt>
                <c:pt idx="5">
                  <c:v>-0.77397844593438292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2F-4994-9BA9-49BD3404DE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41531327"/>
        <c:axId val="646932399"/>
      </c:barChart>
      <c:catAx>
        <c:axId val="13415313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6932399"/>
        <c:crosses val="autoZero"/>
        <c:auto val="1"/>
        <c:lblAlgn val="ctr"/>
        <c:lblOffset val="100"/>
        <c:noMultiLvlLbl val="0"/>
      </c:catAx>
      <c:valAx>
        <c:axId val="646932399"/>
        <c:scaling>
          <c:orientation val="minMax"/>
        </c:scaling>
        <c:delete val="0"/>
        <c:axPos val="l"/>
        <c:numFmt formatCode="0%" sourceLinked="1"/>
        <c:majorTickMark val="none"/>
        <c:minorTickMark val="none"/>
        <c:tickLblPos val="low"/>
        <c:spPr>
          <a:noFill/>
          <a:ln>
            <a:noFill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1531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project2.xlsx]Pivot Tables!Chart6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Return</a:t>
            </a:r>
            <a:r>
              <a:rPr lang="en-US" baseline="0"/>
              <a:t> Rate% by Region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'Pivot Tables'!$AA$41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'Pivot Tables'!$Z$42:$Z$46</c:f>
              <c:strCache>
                <c:ptCount val="4"/>
                <c:pt idx="0">
                  <c:v>South</c:v>
                </c:pt>
                <c:pt idx="1">
                  <c:v>East</c:v>
                </c:pt>
                <c:pt idx="2">
                  <c:v>Central</c:v>
                </c:pt>
                <c:pt idx="3">
                  <c:v>West</c:v>
                </c:pt>
              </c:strCache>
            </c:strRef>
          </c:cat>
          <c:val>
            <c:numRef>
              <c:f>'Pivot Tables'!$AA$42:$AA$46</c:f>
              <c:numCache>
                <c:formatCode>0%</c:formatCode>
                <c:ptCount val="4"/>
                <c:pt idx="0">
                  <c:v>2.9197080291970802E-2</c:v>
                </c:pt>
                <c:pt idx="1">
                  <c:v>3.1406138472519628E-2</c:v>
                </c:pt>
                <c:pt idx="2">
                  <c:v>3.3191489361702124E-2</c:v>
                </c:pt>
                <c:pt idx="3">
                  <c:v>0.11731843575418995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37-4F10-8C1B-44AD29615C0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674765247"/>
        <c:axId val="646831119"/>
      </c:barChart>
      <c:catAx>
        <c:axId val="6747652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6831119"/>
        <c:crosses val="autoZero"/>
        <c:auto val="1"/>
        <c:lblAlgn val="ctr"/>
        <c:lblOffset val="100"/>
        <c:noMultiLvlLbl val="0"/>
      </c:catAx>
      <c:valAx>
        <c:axId val="646831119"/>
        <c:scaling>
          <c:orientation val="minMax"/>
        </c:scaling>
        <c:delete val="0"/>
        <c:axPos val="b"/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47652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[Excel project2.xlsx]Pivot Tables!Chart5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Margin% by Region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dLbl>
          <c:idx val="0"/>
          <c:layout>
            <c:manualLayout>
              <c:x val="0"/>
              <c:y val="1.3749052722745438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 Tables'!$AA$31</c:f>
              <c:strCache>
                <c:ptCount val="1"/>
                <c:pt idx="0">
                  <c:v>Total Sales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'Pivot Tables'!$Z$32:$Z$36</c:f>
              <c:strCache>
                <c:ptCount val="4"/>
                <c:pt idx="0">
                  <c:v>South</c:v>
                </c:pt>
                <c:pt idx="1">
                  <c:v>Central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'Pivot Tables'!$AA$32:$AA$36</c:f>
              <c:numCache>
                <c:formatCode>[&gt;=1000000]\ "$"\ #,##0.00,,"M";[&gt;=1000]\ "$"\ #,#00,\ "K";##,#00</c:formatCode>
                <c:ptCount val="4"/>
                <c:pt idx="0">
                  <c:v>391721.90500000032</c:v>
                </c:pt>
                <c:pt idx="1">
                  <c:v>501239.89080000052</c:v>
                </c:pt>
                <c:pt idx="2">
                  <c:v>678781.2399999979</c:v>
                </c:pt>
                <c:pt idx="3">
                  <c:v>725457.82450000057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65A-4F18-90EA-1E2B7D83386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674732767"/>
        <c:axId val="646864239"/>
      </c:barChart>
      <c:lineChart>
        <c:grouping val="standard"/>
        <c:varyColors val="0"/>
        <c:ser>
          <c:idx val="1"/>
          <c:order val="1"/>
          <c:tx>
            <c:strRef>
              <c:f>'Pivot Tables'!$AB$31</c:f>
              <c:strCache>
                <c:ptCount val="1"/>
                <c:pt idx="0">
                  <c:v>Overall Margin %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'Pivot Tables'!$Z$32:$Z$36</c:f>
              <c:strCache>
                <c:ptCount val="4"/>
                <c:pt idx="0">
                  <c:v>South</c:v>
                </c:pt>
                <c:pt idx="1">
                  <c:v>Central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'Pivot Tables'!$AB$32:$AB$36</c:f>
              <c:numCache>
                <c:formatCode>0%</c:formatCode>
                <c:ptCount val="4"/>
                <c:pt idx="0">
                  <c:v>0.11934341609004485</c:v>
                </c:pt>
                <c:pt idx="1">
                  <c:v>7.9216285911775486E-2</c:v>
                </c:pt>
                <c:pt idx="2">
                  <c:v>0.13483398568882154</c:v>
                </c:pt>
                <c:pt idx="3">
                  <c:v>0.14944831420727209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65A-4F18-90EA-1E2B7D83386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674768959"/>
        <c:axId val="646876239"/>
      </c:lineChart>
      <c:catAx>
        <c:axId val="674732767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gradFill>
              <a:gsLst>
                <a:gs pos="0">
                  <a:schemeClr val="accent1">
                    <a:lumMod val="5000"/>
                    <a:lumOff val="95000"/>
                  </a:schemeClr>
                </a:gs>
                <a:gs pos="74000">
                  <a:schemeClr val="accent1">
                    <a:lumMod val="45000"/>
                    <a:lumOff val="55000"/>
                  </a:schemeClr>
                </a:gs>
                <a:gs pos="83000">
                  <a:schemeClr val="accent1">
                    <a:lumMod val="45000"/>
                    <a:lumOff val="55000"/>
                  </a:schemeClr>
                </a:gs>
                <a:gs pos="100000">
                  <a:schemeClr val="accent1">
                    <a:lumMod val="30000"/>
                    <a:lumOff val="70000"/>
                  </a:schemeClr>
                </a:gs>
              </a:gsLst>
              <a:lin ang="5400000" scaled="1"/>
            </a:gra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6864239"/>
        <c:crosses val="autoZero"/>
        <c:auto val="1"/>
        <c:lblAlgn val="ctr"/>
        <c:lblOffset val="100"/>
        <c:noMultiLvlLbl val="0"/>
      </c:catAx>
      <c:valAx>
        <c:axId val="646864239"/>
        <c:scaling>
          <c:orientation val="minMax"/>
        </c:scaling>
        <c:delete val="0"/>
        <c:axPos val="l"/>
        <c:numFmt formatCode="[&gt;=1000000]\ &quot;$&quot;\ #,##0.00,,&quot;M&quot;;[&gt;=1000]\ &quot;$&quot;\ #,#00,\ &quot;K&quot;;##,#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4732767"/>
        <c:crosses val="autoZero"/>
        <c:crossBetween val="between"/>
      </c:valAx>
      <c:valAx>
        <c:axId val="646876239"/>
        <c:scaling>
          <c:orientation val="minMax"/>
        </c:scaling>
        <c:delete val="0"/>
        <c:axPos val="r"/>
        <c:numFmt formatCode="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4768959"/>
        <c:crosses val="max"/>
        <c:crossBetween val="between"/>
      </c:valAx>
      <c:catAx>
        <c:axId val="674768959"/>
        <c:scaling>
          <c:orientation val="minMax"/>
        </c:scaling>
        <c:delete val="1"/>
        <c:axPos val="t"/>
        <c:numFmt formatCode="General" sourceLinked="1"/>
        <c:majorTickMark val="out"/>
        <c:minorTickMark val="none"/>
        <c:tickLblPos val="nextTo"/>
        <c:crossAx val="646876239"/>
        <c:crosses val="max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AFA5B-9513-4C5A-8569-CE2C67241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Magdad Muhajer</cp:lastModifiedBy>
  <cp:revision>3</cp:revision>
  <dcterms:created xsi:type="dcterms:W3CDTF">2026-09-24T14:20:00Z</dcterms:created>
  <dcterms:modified xsi:type="dcterms:W3CDTF">2026-09-24T14:35:00Z</dcterms:modified>
</cp:coreProperties>
</file>