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46A38"/>
          <w:sz w:val="36"/>
          <w:szCs w:val="36"/>
        </w:rPr>
        <w:t xml:space="preserve">ADRA Meeting — Prep Sheet</w:t>
      </w:r>
    </w:p>
    <w:p>
      <w:pPr>
        <w:spacing w:after="260"/>
        <w:jc w:val="center"/>
      </w:pPr>
      <w:r>
        <w:rPr>
          <w:color w:val="5A4A32"/>
          <w:sz w:val="22"/>
          <w:szCs w:val="22"/>
        </w:rPr>
        <w:t xml:space="preserve">249Souq.com / Marka Di Fantasya General Trading LLC — Tuesday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E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Purpose of this meeting: confirm whether your current trade license activities legally cover operating 249Souq as a multi-vendor marketplace (third-party sellers, commission model) — not just your own e-commerce sales. Bring your license (CN-5479481) and be ready to describe the commission flow in plain terms: sellers list, customer pays 249Souq, 249Souq deducts 20–25% commission, remainder is paid out to the seller.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46A38"/>
        </w:rPr>
        <w:t xml:space="preserve">1. The core question — ask this first, word-for-word</w:t>
      </w:r>
    </w:p>
    <w:p>
      <w:pPr>
        <w:spacing w:after="40" w:before="160"/>
      </w:pPr>
      <w:r>
        <w:rPr>
          <w:b/>
          <w:bCs/>
          <w:color w:val="8A6E30"/>
        </w:rPr>
        <w:t xml:space="preserve">1. </w:t>
      </w:r>
      <w:r>
        <w:rPr>
          <w:b/>
          <w:bCs/>
        </w:rPr>
        <w:t xml:space="preserve">"Do my current activities — Importing, Exporting, General Trading, Wholesale of Perfume Trading, Wholesale of Cosmetics and Trading, E-Commerce Through Social Media, and E-Commerce Through Websites — cover operating a multi-vendor marketplace where other businesses sell their own goods and I take a commission? Or do I need a distinct activity, such as commission agent or marketplace/e-marketplace operator, added to my license?"</w:t>
      </w:r>
    </w:p>
    <w:p>
      <w:pPr>
        <w:spacing w:after="60"/>
        <w:ind w:left="360"/>
      </w:pPr>
      <w:r>
        <w:rPr>
          <w:i/>
          <w:iCs/>
          <w:color w:val="5A4A32"/>
          <w:sz w:val="20"/>
          <w:szCs w:val="20"/>
        </w:rPr>
        <w:t xml:space="preserve">Why it matters: This is the actual gap: none of your listed activities are explicitly named as marketplace or commission-agent activities. E-Commerce Through Websites clearly covers selling your own inventory (the bukhoor) online — it's genuinely unclear whether it also covers reselling on commission for other sellers. Get a direct yes/no, and if no, ask them to name the exact activity to add.</w:t>
      </w:r>
    </w:p>
    <w:p>
      <w:pPr>
        <w:spacing w:after="140"/>
      </w:pPr>
      <w:r>
        <w:rPr>
          <w:i/>
          <w:iCs/>
          <w:color w:val="5A4A32"/>
          <w:sz w:val="20"/>
          <w:szCs w:val="20"/>
        </w:rPr>
        <w:t xml:space="preserve">Arabic phrasing, in case it helps to ask in Arabic or have it ready for the officer:</w:t>
      </w:r>
    </w:p>
    <w:p>
      <w:pPr>
        <w:spacing w:after="140"/>
      </w:pPr>
      <w:r>
        <w:rPr>
          <w:sz w:val="20"/>
          <w:szCs w:val="20"/>
        </w:rPr>
        <w:t xml:space="preserve">هل تغطي أنشطتي الحالية على الرخصة تشغيل منصة تسوق متعددة البائعين حيث يبيع بائعون آخرون منتجاتهم الخاصة وأتقاضى عمولة، أم أحتاج لإضافة نشاط مستقل مثل "وكيل بالعمولة" أو "مشغّل سوق إلكتروني"؟</w:t>
      </w:r>
    </w:p>
    <w:p>
      <w:pPr>
        <w:pStyle w:val="Heading1"/>
        <w:spacing w:after="120" w:before="280"/>
      </w:pPr>
      <w:r>
        <w:rPr>
          <w:b/>
          <w:bCs/>
          <w:color w:val="046A38"/>
        </w:rPr>
        <w:t xml:space="preserve">2. If a new activity is needed</w:t>
      </w:r>
    </w:p>
    <w:p>
      <w:pPr>
        <w:spacing w:after="40" w:before="160"/>
      </w:pPr>
      <w:r>
        <w:rPr>
          <w:b/>
          <w:bCs/>
          <w:color w:val="8A6E30"/>
        </w:rPr>
        <w:t xml:space="preserve">2. </w:t>
      </w:r>
      <w:r>
        <w:rPr>
          <w:b/>
          <w:bCs/>
        </w:rPr>
        <w:t xml:space="preserve">If I do need to add an activity, what is the exact process, cost, and expected timeline?</w:t>
      </w:r>
    </w:p>
    <w:p>
      <w:pPr>
        <w:spacing w:after="60"/>
        <w:ind w:left="360"/>
      </w:pPr>
      <w:r>
        <w:rPr>
          <w:i/>
          <w:iCs/>
          <w:color w:val="5A4A32"/>
          <w:sz w:val="20"/>
          <w:szCs w:val="20"/>
        </w:rPr>
        <w:t xml:space="preserve">Why it matters: You want to know before you leave whether this is a same-visit amendment or a multi-week process, so you can plan seller onboarding around it rather than around a guess.</w:t>
      </w:r>
    </w:p>
    <w:p>
      <w:pPr>
        <w:spacing w:after="40" w:before="160"/>
      </w:pPr>
      <w:r>
        <w:rPr>
          <w:b/>
          <w:bCs/>
          <w:color w:val="8A6E30"/>
        </w:rPr>
        <w:t xml:space="preserve">3. </w:t>
      </w:r>
      <w:r>
        <w:rPr>
          <w:b/>
          <w:bCs/>
        </w:rPr>
        <w:t xml:space="preserve">Does adding this activity require a NOC, extra approval from another authority, or a change to my current license type (Tajer Abu Dhabi)?</w:t>
      </w:r>
    </w:p>
    <w:p>
      <w:pPr>
        <w:spacing w:after="60"/>
        <w:ind w:left="360"/>
      </w:pPr>
      <w:r>
        <w:rPr>
          <w:i/>
          <w:iCs/>
          <w:color w:val="5A4A32"/>
          <w:sz w:val="20"/>
          <w:szCs w:val="20"/>
        </w:rPr>
        <w:t xml:space="preserve">Why it matters: Confirms whether this stays a simple add-on or triggers a bigger structural change — you were told Tajer Abu Dhabi can carry 1,200+ activities, so this should ideally be routine, but worth hearing them confirm it.</w:t>
      </w:r>
    </w:p>
    <w:p>
      <w:pPr>
        <w:spacing w:after="40" w:before="160"/>
      </w:pPr>
      <w:r>
        <w:rPr>
          <w:b/>
          <w:bCs/>
          <w:color w:val="8A6E30"/>
        </w:rPr>
        <w:t xml:space="preserve">4. </w:t>
      </w:r>
      <w:r>
        <w:rPr>
          <w:b/>
          <w:bCs/>
        </w:rPr>
        <w:t xml:space="preserve">Does this activity addition affect my license renewal date (currently valid to 04/09/2027) or require early renewal?</w:t>
      </w:r>
    </w:p>
    <w:p>
      <w:pPr>
        <w:spacing w:after="60"/>
        <w:ind w:left="360"/>
      </w:pPr>
      <w:r>
        <w:rPr>
          <w:i/>
          <w:iCs/>
          <w:color w:val="5A4A32"/>
          <w:sz w:val="20"/>
          <w:szCs w:val="20"/>
        </w:rPr>
        <w:t xml:space="preserve">Why it matters: Rules out any surprise renewal cost or date shift tied to the amendment.</w:t>
      </w:r>
    </w:p>
    <w:p>
      <w:pPr>
        <w:pStyle w:val="Heading1"/>
        <w:spacing w:after="120" w:before="280"/>
      </w:pPr>
      <w:r>
        <w:rPr>
          <w:b/>
          <w:bCs/>
          <w:color w:val="046A38"/>
        </w:rPr>
        <w:t xml:space="preserve">3. Related activities worth raising in the same visit</w:t>
      </w:r>
    </w:p>
    <w:p>
      <w:pPr>
        <w:spacing w:after="40" w:before="160"/>
      </w:pPr>
      <w:r>
        <w:rPr>
          <w:b/>
          <w:bCs/>
          <w:color w:val="8A6E30"/>
        </w:rPr>
        <w:t xml:space="preserve">5. </w:t>
      </w:r>
      <w:r>
        <w:rPr>
          <w:b/>
          <w:bCs/>
        </w:rPr>
        <w:t xml:space="preserve">My license lists 'Wholesale of Perfume Trading' and 'Wholesale of Cosmetics and Trading' — but I sell individual jars directly to individual end consumers through my website and WhatsApp, not in bulk to other businesses. Does that make this retail rather than wholesale? Do my E-Commerce activities already cover direct-to-consumer retail sales, or do I need a distinct retail activity added as well?</w:t>
      </w:r>
    </w:p>
    <w:p>
      <w:pPr>
        <w:spacing w:after="60"/>
        <w:ind w:left="360"/>
      </w:pPr>
      <w:r>
        <w:rPr>
          <w:i/>
          <w:iCs/>
          <w:color w:val="5A4A32"/>
          <w:sz w:val="20"/>
          <w:szCs w:val="20"/>
        </w:rPr>
        <w:t xml:space="preserve">Why it matters: Wholesale and retail are legally distinct activities — wholesale means selling in bulk to other businesses/resellers, not to individual end consumers. If the e-commerce activities don't already cover consumer-facing retail sales, this is a second licensing gap sitting alongside the marketplace/commission question in Q1 — worth resolving both in the same visit rather than finding out later.</w:t>
      </w:r>
    </w:p>
    <w:p>
      <w:pPr>
        <w:spacing w:after="40" w:before="160"/>
      </w:pPr>
      <w:r>
        <w:rPr>
          <w:b/>
          <w:bCs/>
          <w:color w:val="8A6E30"/>
        </w:rPr>
        <w:t xml:space="preserve">6. </w:t>
      </w:r>
      <w:r>
        <w:rPr>
          <w:b/>
          <w:bCs/>
        </w:rPr>
        <w:t xml:space="preserve">I plan to eventually list sellers' garments/textiles — is a separate wholesale activity needed for that, or does General Trading already cover it?</w:t>
      </w:r>
    </w:p>
    <w:p>
      <w:pPr>
        <w:spacing w:after="60"/>
        <w:ind w:left="360"/>
      </w:pPr>
      <w:r>
        <w:rPr>
          <w:i/>
          <w:iCs/>
          <w:color w:val="5A4A32"/>
          <w:sz w:val="20"/>
          <w:szCs w:val="20"/>
        </w:rPr>
        <w:t xml:space="preserve">Why it matters: Garments aren't currently a listed activity; better to confirm now than discover a gap after a seller with clothing is already onboarded.</w:t>
      </w:r>
    </w:p>
    <w:p>
      <w:pPr>
        <w:spacing w:after="40" w:before="160"/>
      </w:pPr>
      <w:r>
        <w:rPr>
          <w:b/>
          <w:bCs/>
          <w:color w:val="8A6E30"/>
        </w:rPr>
        <w:t xml:space="preserve">7. </w:t>
      </w:r>
      <w:r>
        <w:rPr>
          <w:b/>
          <w:bCs/>
        </w:rPr>
        <w:t xml:space="preserve">I may eventually list sellers' packaged food products — what food-specific approvals (municipality, ADAFSA) would apply, and does that responsibility sit with me as the platform or with the individual seller?</w:t>
      </w:r>
    </w:p>
    <w:p>
      <w:pPr>
        <w:spacing w:after="60"/>
        <w:ind w:left="360"/>
      </w:pPr>
      <w:r>
        <w:rPr>
          <w:i/>
          <w:iCs/>
          <w:color w:val="5A4A32"/>
          <w:sz w:val="20"/>
          <w:szCs w:val="20"/>
        </w:rPr>
        <w:t xml:space="preserve">Why it matters: Food is separately regulated in the UAE. You need to know who's on the hook for permits/labeling before a food seller ever gets onboarded, not after.</w:t>
      </w:r>
    </w:p>
    <w:p>
      <w:pPr>
        <w:spacing w:after="40" w:before="160"/>
      </w:pPr>
      <w:r>
        <w:rPr>
          <w:b/>
          <w:bCs/>
          <w:color w:val="8A6E30"/>
        </w:rPr>
        <w:t xml:space="preserve">8. </w:t>
      </w:r>
      <w:r>
        <w:rPr>
          <w:b/>
          <w:bCs/>
        </w:rPr>
        <w:t xml:space="preserve">Some of my sellers may eventually be based inside Sudan itself rather than the UAE — does that change anything about which UAE activity or approval applies to my side of the transaction?</w:t>
      </w:r>
    </w:p>
    <w:p>
      <w:pPr>
        <w:spacing w:after="60"/>
        <w:ind w:left="360"/>
      </w:pPr>
      <w:r>
        <w:rPr>
          <w:i/>
          <w:iCs/>
          <w:color w:val="5A4A32"/>
          <w:sz w:val="20"/>
          <w:szCs w:val="20"/>
        </w:rPr>
        <w:t xml:space="preserve">Why it matters: Your longer-term vision includes onboarding sellers who can't access international payment rails directly — worth an early read on whether their location abroad has any UAE licensing implication for you as the platform.</w:t>
      </w:r>
    </w:p>
    <w:p>
      <w:pPr>
        <w:pStyle w:val="Heading1"/>
        <w:spacing w:after="120" w:before="280"/>
      </w:pPr>
      <w:r>
        <w:rPr>
          <w:b/>
          <w:bCs/>
          <w:color w:val="046A38"/>
        </w:rPr>
        <w:t xml:space="preserve">4. Money flow / merchant-of-record questions</w:t>
      </w:r>
    </w:p>
    <w:p>
      <w:pPr>
        <w:spacing w:after="40" w:before="160"/>
      </w:pPr>
      <w:r>
        <w:rPr>
          <w:b/>
          <w:bCs/>
          <w:color w:val="8A6E30"/>
        </w:rPr>
        <w:t xml:space="preserve">9. </w:t>
      </w:r>
      <w:r>
        <w:rPr>
          <w:b/>
          <w:bCs/>
        </w:rPr>
        <w:t xml:space="preserve">Does my license structure allow me to collect payment from customers as merchant of record and pay out sellers afterward (minus commission), or does that flow itself require a specific activity or approval?</w:t>
      </w:r>
    </w:p>
    <w:p>
      <w:pPr>
        <w:spacing w:after="60"/>
        <w:ind w:left="360"/>
      </w:pPr>
      <w:r>
        <w:rPr>
          <w:i/>
          <w:iCs/>
          <w:color w:val="5A4A32"/>
          <w:sz w:val="20"/>
          <w:szCs w:val="20"/>
        </w:rPr>
        <w:t xml:space="preserve">Why it matters: This is the actual mechanic of your commission model — confirm the payment flow itself isn't the thing requiring a separate activity, distinct from the marketplace-listing question in Q1.</w:t>
      </w:r>
    </w:p>
    <w:p>
      <w:pPr>
        <w:spacing w:after="40" w:before="160"/>
      </w:pPr>
      <w:r>
        <w:rPr>
          <w:b/>
          <w:bCs/>
          <w:color w:val="8A6E30"/>
        </w:rPr>
        <w:t xml:space="preserve">10. </w:t>
      </w:r>
      <w:r>
        <w:rPr>
          <w:b/>
          <w:bCs/>
        </w:rPr>
        <w:t xml:space="preserve">Is there any restriction on how long I can hold customer funds before paying a seller out (you currently plan 5–7 business days)?</w:t>
      </w:r>
    </w:p>
    <w:p>
      <w:pPr>
        <w:spacing w:after="60"/>
        <w:ind w:left="360"/>
      </w:pPr>
      <w:r>
        <w:rPr>
          <w:i/>
          <w:iCs/>
          <w:color w:val="5A4A32"/>
          <w:sz w:val="20"/>
          <w:szCs w:val="20"/>
        </w:rPr>
        <w:t xml:space="preserve">Why it matters: Rules out any regulatory limit on the payout-timing policy you've already finalized with sellers.</w:t>
      </w:r>
    </w:p>
    <w:p>
      <w:pPr>
        <w:spacing w:after="40" w:before="160"/>
      </w:pPr>
      <w:r>
        <w:rPr>
          <w:b/>
          <w:bCs/>
          <w:color w:val="8A6E30"/>
        </w:rPr>
        <w:t xml:space="preserve">11. </w:t>
      </w:r>
      <w:r>
        <w:rPr>
          <w:b/>
          <w:bCs/>
        </w:rPr>
        <w:t xml:space="preserve">Does VAT treatment differ between my own wholesale/markup sales (Bukhoor #1) and the commission-based sales from other sellers? Do I need to invoice these two models differently?</w:t>
      </w:r>
    </w:p>
    <w:p>
      <w:pPr>
        <w:spacing w:after="60"/>
        <w:ind w:left="360"/>
      </w:pPr>
      <w:r>
        <w:rPr>
          <w:i/>
          <w:iCs/>
          <w:color w:val="5A4A32"/>
          <w:sz w:val="20"/>
          <w:szCs w:val="20"/>
        </w:rPr>
        <w:t xml:space="preserve">Why it matters: You're running both models side by side — worth confirming this doesn't need separate VAT handling or separate invoicing before it becomes a bookkeeping problem at scale.</w:t>
      </w:r>
    </w:p>
    <w:p>
      <w:pPr>
        <w:pStyle w:val="Heading1"/>
        <w:spacing w:after="120" w:before="280"/>
      </w:pPr>
      <w:r>
        <w:rPr>
          <w:b/>
          <w:bCs/>
          <w:color w:val="046A38"/>
        </w:rPr>
        <w:t xml:space="preserve">5. While you're there: the license name reapplication</w:t>
      </w:r>
    </w:p>
    <w:p>
      <w:pPr>
        <w:spacing w:after="40" w:before="160"/>
      </w:pPr>
      <w:r>
        <w:rPr>
          <w:b/>
          <w:bCs/>
          <w:color w:val="8A6E30"/>
        </w:rPr>
        <w:t xml:space="preserve">12. </w:t>
      </w:r>
      <w:r>
        <w:rPr>
          <w:b/>
          <w:bCs/>
        </w:rPr>
        <w:t xml:space="preserve">Can you confirm the status of my license name reapplication, and whether it has any bearing on the activity questions above?</w:t>
      </w:r>
    </w:p>
    <w:p>
      <w:pPr>
        <w:spacing w:after="60"/>
        <w:ind w:left="360"/>
      </w:pPr>
      <w:r>
        <w:rPr>
          <w:i/>
          <w:iCs/>
          <w:color w:val="5A4A32"/>
          <w:sz w:val="20"/>
          <w:szCs w:val="20"/>
        </w:rPr>
        <w:t xml:space="preserve">Why it matters: Two separate processes — confirm they don't interact, and get a status update on the name change while you have their attention. (Two attempts already rejected: '249' was flagged as Sudan's international dialing code, and 'Two Four Nine Souq' was rejected as an already-registered name — currently retrying with wordplay/suffix variants like 'Two For Nine Souq' or 'Two Four Nine Souq General Trading'.)</w:t>
      </w:r>
    </w:p>
    <w:p>
      <w:pPr>
        <w:pStyle w:val="Heading1"/>
        <w:spacing w:after="120" w:before="280"/>
      </w:pPr>
      <w:r>
        <w:rPr>
          <w:b/>
          <w:bCs/>
          <w:color w:val="046A38"/>
        </w:rPr>
        <w:t xml:space="preserve">6. Growth / expansion questions (lower priority — ask if time allows)</w:t>
      </w:r>
    </w:p>
    <w:p>
      <w:pPr>
        <w:spacing w:after="40" w:before="160"/>
      </w:pPr>
      <w:r>
        <w:rPr>
          <w:b/>
          <w:bCs/>
          <w:color w:val="8A6E30"/>
        </w:rPr>
        <w:t xml:space="preserve">13. </w:t>
      </w:r>
      <w:r>
        <w:rPr>
          <w:b/>
          <w:bCs/>
        </w:rPr>
        <w:t xml:space="preserve">Does E-Commerce Through Websites/Social Media cover selling to customers in other GCC countries and in Europe, or does cross-border selling need separate registration?</w:t>
      </w:r>
    </w:p>
    <w:p>
      <w:pPr>
        <w:spacing w:after="60"/>
        <w:ind w:left="360"/>
      </w:pPr>
      <w:r>
        <w:rPr>
          <w:i/>
          <w:iCs/>
          <w:color w:val="5A4A32"/>
          <w:sz w:val="20"/>
          <w:szCs w:val="20"/>
        </w:rPr>
        <w:t xml:space="preserve">Why it matters: Your roadmap is UAE/GCC first, then the European Sudanese diaspora — good to know this early rather than at the point you're ready to expand.</w:t>
      </w:r>
    </w:p>
    <w:p>
      <w:pPr>
        <w:spacing w:after="40" w:before="160"/>
      </w:pPr>
      <w:r>
        <w:rPr>
          <w:b/>
          <w:bCs/>
          <w:color w:val="8A6E30"/>
        </w:rPr>
        <w:t xml:space="preserve">14. </w:t>
      </w:r>
      <w:r>
        <w:rPr>
          <w:b/>
          <w:bCs/>
        </w:rPr>
        <w:t xml:space="preserve">If I later introduce a flat monthly "Pro Seller" subscription tier alongside commission, does that require anything different on the license?</w:t>
      </w:r>
    </w:p>
    <w:p>
      <w:pPr>
        <w:spacing w:after="60"/>
        <w:ind w:left="360"/>
      </w:pPr>
      <w:r>
        <w:rPr>
          <w:i/>
          <w:iCs/>
          <w:color w:val="5A4A32"/>
          <w:sz w:val="20"/>
          <w:szCs w:val="20"/>
        </w:rPr>
        <w:t xml:space="preserve">Why it matters: Flagged as a future idea, not urgent — but a free, one-line answer now saves a follow-up meeting later.</w:t>
      </w:r>
    </w:p>
    <w:p>
      <w:pPr>
        <w:pStyle w:val="Heading1"/>
        <w:spacing w:after="120" w:before="280"/>
      </w:pPr>
      <w:r>
        <w:rPr>
          <w:b/>
          <w:bCs/>
          <w:color w:val="046A38"/>
        </w:rPr>
        <w:t xml:space="preserve">What to bring</w:t>
      </w:r>
    </w:p>
    <w:p>
      <w:pPr>
        <w:spacing w:after="60"/>
      </w:pPr>
      <w:r>
        <w:t xml:space="preserve">•  Trade license (CN-5479481) — physical or digital copy</w:t>
      </w:r>
    </w:p>
    <w:p>
      <w:pPr>
        <w:spacing w:after="60"/>
      </w:pPr>
      <w:r>
        <w:t xml:space="preserve">•  One-paragraph plain description of the commission flow (see the note box above — read it out if asked "what exactly does the platform do")</w:t>
      </w:r>
    </w:p>
    <w:p>
      <w:pPr>
        <w:spacing w:after="60"/>
      </w:pPr>
      <w:r>
        <w:t xml:space="preserve">•  A pen and this sheet — write the officer's exact wording next to each question, especially Q1; the precise phrasing of their answer matters if you need to act on it later</w:t>
      </w:r>
    </w:p>
    <w:p>
      <w:pPr>
        <w:spacing w:after="200"/>
      </w:pPr>
      <w:r>
        <w:t xml:space="preserve">•  Reference: the Tahaqaq verification service (adra.gov.ae) or TAMM, in case they redirect part of this to a different desk</w:t>
      </w:r>
    </w:p>
    <w:p>
      <w:pPr>
        <w:pStyle w:val="Heading1"/>
        <w:spacing w:after="120" w:before="280"/>
      </w:pPr>
      <w:r>
        <w:rPr>
          <w:b/>
          <w:bCs/>
          <w:color w:val="046A38"/>
        </w:rPr>
        <w:t xml:space="preserve">After the meeting</w:t>
      </w:r>
    </w:p>
    <w:p>
      <w:pPr>
        <w:spacing w:after="140"/>
      </w:pPr>
      <w:r>
        <w:t xml:space="preserve">Bring back their answer to Q1 above all else — that single answer determines whether anything else on your seller-onboarding plan needs to pause. Everything else in this sheet is useful context, but Q1 is the one that changes what happens next.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2026-09-21T13:09:28.065Z</dcterms:created>
  <dcterms:modified xsi:type="dcterms:W3CDTF">2026-09-21T13:09:28.074Z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