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E5F2D">
      <w:pPr>
        <w:spacing w:before="100" w:beforeAutospacing="1" w:after="100" w:afterAutospacing="1" w:line="240" w:lineRule="auto"/>
        <w:rPr>
          <w:rFonts w:eastAsia="Times New Roman" w:cstheme="minorHAnsi"/>
          <w:color w:val="FF0000"/>
          <w:lang w:eastAsia="en-GB"/>
        </w:rPr>
      </w:pPr>
      <w:r>
        <w:rPr>
          <w:rFonts w:eastAsia="Times New Roman" w:cstheme="minorHAnsi"/>
          <w:b/>
          <w:bCs/>
          <w:color w:val="FF0000"/>
          <w:lang w:eastAsia="en-GB"/>
        </w:rPr>
        <w:t>VIDEO RECORDING FOR CREDIT ANALYST</w:t>
      </w:r>
    </w:p>
    <w:p w14:paraId="1A67AAC8">
      <w:pPr>
        <w:spacing w:before="100" w:beforeAutospacing="1" w:after="100" w:afterAutospacing="1" w:line="240" w:lineRule="auto"/>
        <w:rPr>
          <w:rFonts w:hint="default" w:ascii="Arial" w:hAnsi="Arial" w:eastAsia="Times New Roman" w:cs="Arial"/>
          <w:sz w:val="24"/>
          <w:szCs w:val="24"/>
          <w:lang w:eastAsia="en-GB"/>
        </w:rPr>
      </w:pPr>
      <w:r>
        <w:rPr>
          <w:rFonts w:hint="default" w:ascii="Arial" w:hAnsi="Arial" w:eastAsia="Times New Roman" w:cs="Arial"/>
          <w:sz w:val="24"/>
          <w:szCs w:val="24"/>
          <w:lang w:val="en-US" w:eastAsia="en-GB"/>
        </w:rPr>
        <w:t xml:space="preserve">Hey </w:t>
      </w:r>
      <w:r>
        <w:rPr>
          <w:rFonts w:hint="default" w:ascii="Arial" w:hAnsi="Arial" w:eastAsia="Times New Roman" w:cs="Arial"/>
          <w:sz w:val="24"/>
          <w:szCs w:val="24"/>
          <w:lang w:eastAsia="en-GB"/>
        </w:rPr>
        <w:t>Good morning Darren,</w:t>
      </w:r>
    </w:p>
    <w:p w14:paraId="22330444">
      <w:pPr>
        <w:spacing w:before="100" w:beforeAutospacing="1" w:after="100" w:afterAutospacing="1" w:line="240" w:lineRule="auto"/>
        <w:rPr>
          <w:rFonts w:hint="default" w:ascii="Arial" w:hAnsi="Arial" w:eastAsia="Times New Roman" w:cs="Arial"/>
          <w:color w:val="FF0000"/>
          <w:sz w:val="24"/>
          <w:szCs w:val="24"/>
          <w:lang w:eastAsia="en-GB"/>
        </w:rPr>
      </w:pPr>
      <w:r>
        <w:rPr>
          <w:rFonts w:hint="default" w:ascii="Arial" w:hAnsi="Arial" w:eastAsia="Times New Roman" w:cs="Arial"/>
          <w:color w:val="FF0000"/>
          <w:sz w:val="24"/>
          <w:szCs w:val="24"/>
          <w:lang w:eastAsia="en-GB"/>
        </w:rPr>
        <w:t>[Introduction &amp; Purpose of the video recording]</w:t>
      </w:r>
    </w:p>
    <w:p w14:paraId="1F0260BB">
      <w:pPr>
        <w:spacing w:before="100" w:beforeAutospacing="1" w:after="100" w:afterAutospacing="1" w:line="240" w:lineRule="auto"/>
        <w:rPr>
          <w:rFonts w:hint="default" w:eastAsia="Times New Roman" w:cstheme="minorHAnsi"/>
          <w:lang w:val="en-US" w:eastAsia="en-GB"/>
        </w:rPr>
      </w:pPr>
      <w:r>
        <w:rPr>
          <w:rFonts w:hint="default" w:ascii="Arial" w:hAnsi="Arial" w:eastAsia="sans-serif" w:cs="Arial"/>
          <w:i w:val="0"/>
          <w:iCs w:val="0"/>
          <w:caps w:val="0"/>
          <w:color w:val="303030"/>
          <w:spacing w:val="0"/>
          <w:sz w:val="24"/>
          <w:szCs w:val="24"/>
          <w:shd w:val="clear" w:fill="FFFFFF"/>
        </w:rPr>
        <w:t xml:space="preserve"> </w:t>
      </w:r>
      <w:r>
        <w:rPr>
          <w:rFonts w:hint="default" w:ascii="Arial" w:hAnsi="Arial" w:eastAsia="sans-serif" w:cs="Arial"/>
          <w:i w:val="0"/>
          <w:iCs w:val="0"/>
          <w:caps w:val="0"/>
          <w:color w:val="303030"/>
          <w:spacing w:val="0"/>
          <w:sz w:val="24"/>
          <w:szCs w:val="24"/>
          <w:shd w:val="clear" w:fill="FFFFFF"/>
          <w:lang w:val="en-US"/>
        </w:rPr>
        <w:t>(1)</w:t>
      </w:r>
      <w:r>
        <w:rPr>
          <w:rFonts w:eastAsia="Times New Roman" w:cstheme="minorHAnsi"/>
          <w:b/>
          <w:bCs/>
          <w:lang w:eastAsia="en-GB"/>
        </w:rPr>
        <w:t>Introduction:</w:t>
      </w:r>
      <w:r>
        <w:rPr>
          <w:rFonts w:hint="default" w:eastAsia="Times New Roman" w:cstheme="minorHAnsi"/>
          <w:b/>
          <w:bCs/>
          <w:lang w:val="en-US" w:eastAsia="en-GB"/>
        </w:rPr>
        <w:t xml:space="preserve"> I’m merene</w:t>
      </w:r>
    </w:p>
    <w:p w14:paraId="3E03D174">
      <w:pPr>
        <w:spacing w:before="100" w:beforeAutospacing="1" w:after="100" w:afterAutospacing="1" w:line="240" w:lineRule="auto"/>
        <w:rPr>
          <w:rFonts w:eastAsia="Times New Roman" w:cstheme="minorHAnsi"/>
          <w:color w:val="FF0000"/>
          <w:lang w:eastAsia="en-GB"/>
        </w:rPr>
      </w:pPr>
      <w:bookmarkStart w:id="0" w:name="_Hlk173218322"/>
      <w:r>
        <w:rPr>
          <w:rFonts w:eastAsia="Times New Roman" w:cstheme="minorHAnsi"/>
          <w:color w:val="FF0000"/>
          <w:lang w:eastAsia="en-GB"/>
        </w:rPr>
        <w:t xml:space="preserve">[Introduction to </w:t>
      </w:r>
      <w:r>
        <w:rPr>
          <w:rFonts w:ascii="Segoe UI" w:hAnsi="Segoe UI" w:eastAsia="Times New Roman" w:cs="Segoe UI"/>
          <w:color w:val="FF0000"/>
          <w:sz w:val="20"/>
          <w:szCs w:val="24"/>
          <w:lang w:eastAsia="en-GB"/>
        </w:rPr>
        <w:t>Green Solutions Manufacturing Ltd</w:t>
      </w:r>
      <w:r>
        <w:rPr>
          <w:rFonts w:eastAsia="Times New Roman" w:cstheme="minorHAnsi"/>
          <w:color w:val="FF0000"/>
          <w:lang w:eastAsia="en-GB"/>
        </w:rPr>
        <w:t>]</w:t>
      </w:r>
    </w:p>
    <w:p w14:paraId="443915DB">
      <w:pPr>
        <w:spacing w:before="100" w:beforeAutospacing="1" w:after="100" w:afterAutospacing="1" w:line="240" w:lineRule="auto"/>
        <w:rPr>
          <w:rFonts w:hint="default" w:ascii="Arial" w:hAnsi="Arial" w:eastAsia="Times New Roman" w:cs="Arial"/>
          <w:color w:val="FF0000"/>
          <w:sz w:val="24"/>
          <w:szCs w:val="24"/>
          <w:lang w:eastAsia="en-GB"/>
        </w:rPr>
      </w:pPr>
      <w:r>
        <w:rPr>
          <w:rFonts w:hint="default" w:ascii="Arial" w:hAnsi="Arial" w:eastAsia="sans-serif" w:cs="Arial"/>
          <w:i w:val="0"/>
          <w:iCs w:val="0"/>
          <w:color w:val="303030"/>
          <w:spacing w:val="0"/>
          <w:sz w:val="24"/>
          <w:szCs w:val="24"/>
          <w:shd w:val="clear" w:fill="FFFFFF"/>
          <w:lang w:val="en-US"/>
        </w:rPr>
        <w:t xml:space="preserve">And ill be making a </w:t>
      </w:r>
      <w:r>
        <w:rPr>
          <w:rFonts w:hint="default" w:ascii="Arial" w:hAnsi="Arial" w:eastAsia="sans-serif" w:cs="Arial"/>
          <w:i w:val="0"/>
          <w:iCs w:val="0"/>
          <w:caps w:val="0"/>
          <w:color w:val="303030"/>
          <w:spacing w:val="0"/>
          <w:sz w:val="24"/>
          <w:szCs w:val="24"/>
          <w:shd w:val="clear" w:fill="FFFFFF"/>
        </w:rPr>
        <w:t>presentation provid</w:t>
      </w:r>
      <w:r>
        <w:rPr>
          <w:rFonts w:hint="default" w:ascii="Arial" w:hAnsi="Arial" w:eastAsia="sans-serif" w:cs="Arial"/>
          <w:i w:val="0"/>
          <w:iCs w:val="0"/>
          <w:caps w:val="0"/>
          <w:color w:val="303030"/>
          <w:spacing w:val="0"/>
          <w:sz w:val="24"/>
          <w:szCs w:val="24"/>
          <w:shd w:val="clear" w:fill="FFFFFF"/>
          <w:lang w:val="en-US"/>
        </w:rPr>
        <w:t xml:space="preserve">ing </w:t>
      </w:r>
      <w:r>
        <w:rPr>
          <w:rFonts w:hint="default" w:ascii="Arial" w:hAnsi="Arial" w:eastAsia="sans-serif" w:cs="Arial"/>
          <w:i w:val="0"/>
          <w:iCs w:val="0"/>
          <w:caps w:val="0"/>
          <w:color w:val="303030"/>
          <w:spacing w:val="0"/>
          <w:sz w:val="24"/>
          <w:szCs w:val="24"/>
          <w:shd w:val="clear" w:fill="FFFFFF"/>
        </w:rPr>
        <w:t xml:space="preserve"> a strategic financial analysis of </w:t>
      </w:r>
      <w:r>
        <w:rPr>
          <w:rFonts w:hint="default" w:ascii="Arial" w:hAnsi="Arial" w:eastAsia="sans-serif" w:cs="Arial"/>
          <w:b/>
          <w:bCs/>
          <w:i w:val="0"/>
          <w:iCs w:val="0"/>
          <w:caps w:val="0"/>
          <w:color w:val="303030"/>
          <w:spacing w:val="0"/>
          <w:sz w:val="24"/>
          <w:szCs w:val="24"/>
          <w:shd w:val="clear" w:fill="FFFFFF"/>
        </w:rPr>
        <w:t>Green Solutions Manufacturing Ltd.</w:t>
      </w:r>
      <w:r>
        <w:rPr>
          <w:rFonts w:hint="default" w:ascii="Arial" w:hAnsi="Arial" w:eastAsia="sans-serif" w:cs="Arial"/>
          <w:i w:val="0"/>
          <w:iCs w:val="0"/>
          <w:caps w:val="0"/>
          <w:color w:val="303030"/>
          <w:spacing w:val="0"/>
          <w:sz w:val="24"/>
          <w:szCs w:val="24"/>
          <w:shd w:val="clear" w:fill="FFFFFF"/>
        </w:rPr>
        <w:t xml:space="preserve">, a UK-based multinational leader in </w:t>
      </w:r>
      <w:r>
        <w:rPr>
          <w:rFonts w:hint="default" w:ascii="Arial" w:hAnsi="Arial" w:eastAsia="sans-serif" w:cs="Arial"/>
          <w:b/>
          <w:bCs/>
          <w:i w:val="0"/>
          <w:iCs w:val="0"/>
          <w:caps w:val="0"/>
          <w:color w:val="303030"/>
          <w:spacing w:val="0"/>
          <w:sz w:val="24"/>
          <w:szCs w:val="24"/>
          <w:shd w:val="clear" w:fill="FFFFFF"/>
        </w:rPr>
        <w:t>eco-friendly sustainable drinkware</w:t>
      </w:r>
      <w:r>
        <w:rPr>
          <w:rFonts w:hint="default" w:ascii="Arial" w:hAnsi="Arial" w:eastAsia="sans-serif" w:cs="Arial"/>
          <w:i w:val="0"/>
          <w:iCs w:val="0"/>
          <w:caps w:val="0"/>
          <w:color w:val="303030"/>
          <w:spacing w:val="0"/>
          <w:sz w:val="24"/>
          <w:szCs w:val="24"/>
          <w:shd w:val="clear" w:fill="FFFFFF"/>
        </w:rPr>
        <w:t xml:space="preserve">. </w:t>
      </w:r>
      <w:r>
        <w:rPr>
          <w:rFonts w:hint="default" w:ascii="Arial" w:hAnsi="Arial" w:eastAsia="sans-serif" w:cs="Arial"/>
          <w:i w:val="0"/>
          <w:iCs w:val="0"/>
          <w:caps w:val="0"/>
          <w:color w:val="303030"/>
          <w:spacing w:val="0"/>
          <w:sz w:val="24"/>
          <w:szCs w:val="24"/>
          <w:shd w:val="clear" w:fill="FFFFFF"/>
          <w:lang w:val="en-US"/>
        </w:rPr>
        <w:t>(2)</w:t>
      </w:r>
      <w:r>
        <w:rPr>
          <w:rFonts w:hint="default" w:ascii="Arial" w:hAnsi="Arial" w:eastAsia="sans-serif" w:cs="Arial"/>
          <w:i w:val="0"/>
          <w:iCs w:val="0"/>
          <w:caps w:val="0"/>
          <w:color w:val="303030"/>
          <w:spacing w:val="0"/>
          <w:sz w:val="24"/>
          <w:szCs w:val="24"/>
          <w:shd w:val="clear" w:fill="FFFFFF"/>
        </w:rPr>
        <w:t xml:space="preserve">With an annual revenue exceeding £50 million and a global customer base of 50 million across three countries, the company is at the forefront of the green manufacturing revolution. </w:t>
      </w:r>
      <w:r>
        <w:rPr>
          <w:rFonts w:hint="default" w:ascii="Arial" w:hAnsi="Arial" w:eastAsia="sans-serif" w:cs="Arial"/>
          <w:i w:val="0"/>
          <w:iCs w:val="0"/>
          <w:caps w:val="0"/>
          <w:color w:val="303030"/>
          <w:spacing w:val="0"/>
          <w:sz w:val="24"/>
          <w:szCs w:val="24"/>
          <w:shd w:val="clear" w:fill="FFFFFF"/>
          <w:lang w:val="en-US"/>
        </w:rPr>
        <w:t>(3)</w:t>
      </w:r>
      <w:r>
        <w:rPr>
          <w:rFonts w:hint="default" w:ascii="Arial" w:hAnsi="Arial" w:eastAsia="sans-serif" w:cs="Arial"/>
          <w:i w:val="0"/>
          <w:iCs w:val="0"/>
          <w:caps w:val="0"/>
          <w:color w:val="303030"/>
          <w:spacing w:val="0"/>
          <w:sz w:val="24"/>
          <w:szCs w:val="24"/>
          <w:shd w:val="clear" w:fill="FFFFFF"/>
        </w:rPr>
        <w:t xml:space="preserve">Today, we will </w:t>
      </w:r>
      <w:r>
        <w:rPr>
          <w:rFonts w:hint="default" w:ascii="Arial" w:hAnsi="Arial" w:eastAsia="sans-serif" w:cs="Arial"/>
          <w:i w:val="0"/>
          <w:iCs w:val="0"/>
          <w:caps w:val="0"/>
          <w:color w:val="303030"/>
          <w:spacing w:val="0"/>
          <w:sz w:val="24"/>
          <w:szCs w:val="24"/>
          <w:shd w:val="clear" w:fill="FFFFFF"/>
          <w:lang w:val="en-US"/>
        </w:rPr>
        <w:t xml:space="preserve">be </w:t>
      </w:r>
      <w:r>
        <w:rPr>
          <w:rFonts w:hint="default" w:ascii="Arial" w:hAnsi="Arial" w:eastAsia="sans-serif" w:cs="Arial"/>
          <w:i w:val="0"/>
          <w:iCs w:val="0"/>
          <w:caps w:val="0"/>
          <w:color w:val="303030"/>
          <w:spacing w:val="0"/>
          <w:sz w:val="24"/>
          <w:szCs w:val="24"/>
          <w:shd w:val="clear" w:fill="FFFFFF"/>
        </w:rPr>
        <w:t>review</w:t>
      </w:r>
      <w:r>
        <w:rPr>
          <w:rFonts w:hint="default" w:ascii="Arial" w:hAnsi="Arial" w:eastAsia="sans-serif" w:cs="Arial"/>
          <w:i w:val="0"/>
          <w:iCs w:val="0"/>
          <w:caps w:val="0"/>
          <w:color w:val="303030"/>
          <w:spacing w:val="0"/>
          <w:sz w:val="24"/>
          <w:szCs w:val="24"/>
          <w:shd w:val="clear" w:fill="FFFFFF"/>
          <w:lang w:val="en-US"/>
        </w:rPr>
        <w:t>ing</w:t>
      </w:r>
      <w:r>
        <w:rPr>
          <w:rFonts w:hint="default" w:ascii="Arial" w:hAnsi="Arial" w:eastAsia="sans-serif" w:cs="Arial"/>
          <w:i w:val="0"/>
          <w:iCs w:val="0"/>
          <w:caps w:val="0"/>
          <w:color w:val="303030"/>
          <w:spacing w:val="0"/>
          <w:sz w:val="24"/>
          <w:szCs w:val="24"/>
          <w:shd w:val="clear" w:fill="FFFFFF"/>
        </w:rPr>
        <w:t xml:space="preserve"> </w:t>
      </w:r>
      <w:r>
        <w:rPr>
          <w:rFonts w:hint="default" w:ascii="Arial" w:hAnsi="Arial" w:eastAsia="sans-serif" w:cs="Arial"/>
          <w:i w:val="0"/>
          <w:iCs w:val="0"/>
          <w:caps w:val="0"/>
          <w:color w:val="303030"/>
          <w:spacing w:val="0"/>
          <w:sz w:val="24"/>
          <w:szCs w:val="24"/>
          <w:shd w:val="clear" w:fill="FFFFFF"/>
          <w:lang w:val="en-US"/>
        </w:rPr>
        <w:t>the</w:t>
      </w:r>
      <w:r>
        <w:rPr>
          <w:rFonts w:hint="default" w:ascii="Arial" w:hAnsi="Arial" w:eastAsia="sans-serif" w:cs="Arial"/>
          <w:i w:val="0"/>
          <w:iCs w:val="0"/>
          <w:caps w:val="0"/>
          <w:color w:val="303030"/>
          <w:spacing w:val="0"/>
          <w:sz w:val="24"/>
          <w:szCs w:val="24"/>
          <w:shd w:val="clear" w:fill="FFFFFF"/>
        </w:rPr>
        <w:t xml:space="preserve"> 202</w:t>
      </w:r>
      <w:r>
        <w:rPr>
          <w:rFonts w:hint="default" w:ascii="Arial" w:hAnsi="Arial" w:eastAsia="sans-serif" w:cs="Arial"/>
          <w:i w:val="0"/>
          <w:iCs w:val="0"/>
          <w:caps w:val="0"/>
          <w:color w:val="303030"/>
          <w:spacing w:val="0"/>
          <w:sz w:val="24"/>
          <w:szCs w:val="24"/>
          <w:shd w:val="clear" w:fill="FFFFFF"/>
          <w:lang w:val="en-US"/>
        </w:rPr>
        <w:t xml:space="preserve">3 </w:t>
      </w:r>
      <w:r>
        <w:rPr>
          <w:rFonts w:hint="default" w:ascii="Arial" w:hAnsi="Arial" w:eastAsia="sans-serif" w:cs="Arial"/>
          <w:i w:val="0"/>
          <w:iCs w:val="0"/>
          <w:caps w:val="0"/>
          <w:color w:val="303030"/>
          <w:spacing w:val="0"/>
          <w:sz w:val="24"/>
          <w:szCs w:val="24"/>
          <w:shd w:val="clear" w:fill="FFFFFF"/>
        </w:rPr>
        <w:t>fiscal performance, analyze key financial ratios, and assess how current industry trends align with</w:t>
      </w:r>
      <w:r>
        <w:rPr>
          <w:rFonts w:hint="default" w:ascii="Arial" w:hAnsi="Arial" w:eastAsia="sans-serif" w:cs="Arial"/>
          <w:i w:val="0"/>
          <w:iCs w:val="0"/>
          <w:caps w:val="0"/>
          <w:color w:val="303030"/>
          <w:spacing w:val="0"/>
          <w:sz w:val="24"/>
          <w:szCs w:val="24"/>
          <w:shd w:val="clear" w:fill="FFFFFF"/>
          <w:lang w:val="en-US"/>
        </w:rPr>
        <w:t xml:space="preserve"> the</w:t>
      </w:r>
      <w:r>
        <w:rPr>
          <w:rFonts w:hint="default" w:ascii="Arial" w:hAnsi="Arial" w:eastAsia="sans-serif" w:cs="Arial"/>
          <w:i w:val="0"/>
          <w:iCs w:val="0"/>
          <w:caps w:val="0"/>
          <w:color w:val="303030"/>
          <w:spacing w:val="0"/>
          <w:sz w:val="24"/>
          <w:szCs w:val="24"/>
          <w:shd w:val="clear" w:fill="FFFFFF"/>
        </w:rPr>
        <w:t xml:space="preserve"> ambitious expansion plans as we seek </w:t>
      </w:r>
      <w:r>
        <w:rPr>
          <w:rFonts w:hint="default" w:ascii="Arial" w:hAnsi="Arial" w:eastAsia="sans-serif" w:cs="Arial"/>
          <w:b/>
          <w:bCs/>
          <w:i w:val="0"/>
          <w:iCs w:val="0"/>
          <w:caps w:val="0"/>
          <w:color w:val="303030"/>
          <w:spacing w:val="0"/>
          <w:sz w:val="24"/>
          <w:szCs w:val="24"/>
          <w:shd w:val="clear" w:fill="FFFFFF"/>
        </w:rPr>
        <w:t>additional credit facilities</w:t>
      </w:r>
      <w:r>
        <w:rPr>
          <w:rFonts w:hint="default" w:ascii="Arial" w:hAnsi="Arial" w:eastAsia="sans-serif" w:cs="Arial"/>
          <w:i w:val="0"/>
          <w:iCs w:val="0"/>
          <w:caps w:val="0"/>
          <w:color w:val="303030"/>
          <w:spacing w:val="0"/>
          <w:sz w:val="24"/>
          <w:szCs w:val="24"/>
          <w:shd w:val="clear" w:fill="FFFFFF"/>
        </w:rPr>
        <w:t xml:space="preserve"> to accelerate our sustainability roadmap.</w:t>
      </w:r>
      <w:bookmarkStart w:id="1" w:name="_GoBack"/>
      <w:bookmarkEnd w:id="1"/>
    </w:p>
    <w:p w14:paraId="42739A9F">
      <w:pPr>
        <w:spacing w:before="100" w:beforeAutospacing="1" w:after="100" w:afterAutospacing="1" w:line="240" w:lineRule="auto"/>
        <w:rPr>
          <w:rFonts w:eastAsia="Times New Roman" w:cstheme="minorHAnsi"/>
          <w:color w:val="FF0000"/>
          <w:lang w:eastAsia="en-GB"/>
        </w:rPr>
      </w:pPr>
    </w:p>
    <w:bookmarkEnd w:id="0"/>
    <w:p w14:paraId="129346C9">
      <w:pPr>
        <w:spacing w:before="100" w:beforeAutospacing="1" w:after="100" w:afterAutospacing="1" w:line="240" w:lineRule="auto"/>
        <w:rPr>
          <w:rFonts w:eastAsia="Times New Roman" w:cstheme="minorHAnsi"/>
          <w:b/>
          <w:bCs/>
          <w:lang w:eastAsia="en-GB"/>
        </w:rPr>
      </w:pPr>
      <w:r>
        <w:rPr>
          <w:rFonts w:eastAsia="Times New Roman" w:cstheme="minorHAnsi"/>
          <w:b/>
          <w:bCs/>
          <w:lang w:eastAsia="en-GB"/>
        </w:rPr>
        <w:t>Quantitative Analysis:</w:t>
      </w:r>
    </w:p>
    <w:p w14:paraId="5B9BABFC">
      <w:pPr>
        <w:spacing w:before="100" w:beforeAutospacing="1" w:after="100" w:afterAutospacing="1" w:line="240" w:lineRule="auto"/>
        <w:rPr>
          <w:rFonts w:hint="default" w:ascii="Arial" w:hAnsi="Arial" w:eastAsia="sans-serif" w:cs="Arial"/>
          <w:caps w:val="0"/>
          <w:color w:val="303030"/>
          <w:spacing w:val="0"/>
          <w:sz w:val="21"/>
          <w:szCs w:val="21"/>
          <w:shd w:val="clear" w:fill="FFFFFF"/>
        </w:rPr>
      </w:pPr>
      <w:r>
        <w:rPr>
          <w:rFonts w:hint="default" w:ascii="Arial" w:hAnsi="Arial" w:eastAsia="sans-serif" w:cs="Arial"/>
          <w:b/>
          <w:bCs/>
          <w:i w:val="0"/>
          <w:iCs w:val="0"/>
          <w:caps w:val="0"/>
          <w:color w:val="303030"/>
          <w:spacing w:val="0"/>
          <w:sz w:val="21"/>
          <w:szCs w:val="21"/>
          <w:shd w:val="clear" w:fill="FFFFFF"/>
        </w:rPr>
        <w:t>Visual:</w:t>
      </w:r>
      <w:r>
        <w:rPr>
          <w:rFonts w:hint="default" w:ascii="Arial" w:hAnsi="Arial" w:eastAsia="sans-serif" w:cs="Arial"/>
          <w:i w:val="0"/>
          <w:iCs w:val="0"/>
          <w:caps w:val="0"/>
          <w:color w:val="303030"/>
          <w:spacing w:val="0"/>
          <w:sz w:val="21"/>
          <w:szCs w:val="21"/>
          <w:shd w:val="clear" w:fill="FFFFFF"/>
        </w:rPr>
        <w:t xml:space="preserve"> </w:t>
      </w:r>
      <w:r>
        <w:rPr>
          <w:rFonts w:hint="default" w:ascii="Arial" w:hAnsi="Arial" w:eastAsia="sans-serif" w:cs="Arial"/>
          <w:caps w:val="0"/>
          <w:color w:val="303030"/>
          <w:spacing w:val="0"/>
          <w:sz w:val="21"/>
          <w:szCs w:val="21"/>
          <w:shd w:val="clear" w:fill="FFFFFF"/>
        </w:rPr>
        <w:t>A dashboard showing growth percentages: Revenue +64.7%, Net Profit +</w:t>
      </w:r>
      <w:r>
        <w:rPr>
          <w:rFonts w:hint="default" w:ascii="Arial" w:hAnsi="Arial" w:eastAsia="sans-serif" w:cs="Arial"/>
          <w:caps w:val="0"/>
          <w:color w:val="303030"/>
          <w:spacing w:val="0"/>
          <w:sz w:val="21"/>
          <w:szCs w:val="21"/>
          <w:shd w:val="clear" w:fill="FFFFFF"/>
          <w:lang w:val="en-US"/>
        </w:rPr>
        <w:t>150</w:t>
      </w:r>
      <w:r>
        <w:rPr>
          <w:rFonts w:hint="default" w:ascii="Arial" w:hAnsi="Arial" w:eastAsia="sans-serif" w:cs="Arial"/>
          <w:caps w:val="0"/>
          <w:color w:val="303030"/>
          <w:spacing w:val="0"/>
          <w:sz w:val="21"/>
          <w:szCs w:val="21"/>
          <w:shd w:val="clear" w:fill="FFFFFF"/>
        </w:rPr>
        <w:t>%</w:t>
      </w:r>
    </w:p>
    <w:p w14:paraId="35D22A14">
      <w:pPr>
        <w:spacing w:before="100" w:beforeAutospacing="1" w:after="100" w:afterAutospacing="1" w:line="240" w:lineRule="auto"/>
        <w:rPr>
          <w:rFonts w:hint="default" w:ascii="Arial" w:hAnsi="Arial" w:eastAsia="sans-serif" w:cs="Arial"/>
          <w:caps w:val="0"/>
          <w:color w:val="303030"/>
          <w:spacing w:val="0"/>
          <w:sz w:val="21"/>
          <w:szCs w:val="21"/>
          <w:shd w:val="clear" w:fill="FFFFFF"/>
          <w:lang w:eastAsia="en-GB"/>
        </w:rPr>
      </w:pPr>
      <w:r>
        <w:rPr>
          <w:rFonts w:hint="default" w:ascii="Arial" w:hAnsi="Arial" w:eastAsia="sans-serif" w:cs="Arial"/>
          <w:b/>
          <w:bCs/>
          <w:i w:val="0"/>
          <w:iCs w:val="0"/>
          <w:caps w:val="0"/>
          <w:color w:val="303030"/>
          <w:spacing w:val="0"/>
          <w:sz w:val="21"/>
          <w:szCs w:val="21"/>
          <w:shd w:val="clear" w:fill="FFFFFF"/>
        </w:rPr>
        <w:t>Narration:</w:t>
      </w:r>
      <w:r>
        <w:rPr>
          <w:rFonts w:hint="default" w:ascii="Arial" w:hAnsi="Arial" w:eastAsia="sans-serif" w:cs="Arial"/>
          <w:i w:val="0"/>
          <w:iCs w:val="0"/>
          <w:caps w:val="0"/>
          <w:color w:val="303030"/>
          <w:spacing w:val="0"/>
          <w:sz w:val="21"/>
          <w:szCs w:val="21"/>
          <w:shd w:val="clear" w:fill="FFFFFF"/>
        </w:rPr>
        <w:t xml:space="preserve"> The 2025 fiscal year was marked by explosive growth. Total revenue rose from </w:t>
      </w:r>
      <w:r>
        <w:rPr>
          <w:rFonts w:hint="default" w:ascii="Arial" w:hAnsi="Arial" w:eastAsia="Times New Roman" w:cs="Arial"/>
          <w:i w:val="0"/>
          <w:iCs w:val="0"/>
          <w:caps w:val="0"/>
          <w:color w:val="303030"/>
          <w:spacing w:val="0"/>
          <w:sz w:val="25"/>
          <w:szCs w:val="25"/>
          <w:shd w:val="clear" w:fill="FFFFFF"/>
        </w:rPr>
        <w:t>34</w:t>
      </w:r>
      <w:r>
        <w:rPr>
          <w:rFonts w:hint="default" w:ascii="Arial" w:hAnsi="Arial" w:eastAsia="KaTeX_Math" w:cs="Arial"/>
          <w:i/>
          <w:iCs/>
          <w:caps w:val="0"/>
          <w:color w:val="303030"/>
          <w:spacing w:val="0"/>
          <w:sz w:val="25"/>
          <w:szCs w:val="25"/>
          <w:shd w:val="clear" w:fill="FFFFFF"/>
        </w:rPr>
        <w:t>millionto</w:t>
      </w:r>
      <w:r>
        <w:rPr>
          <w:rFonts w:hint="default" w:ascii="Arial" w:hAnsi="Arial" w:eastAsia="Times New Roman" w:cs="Arial"/>
          <w:i w:val="0"/>
          <w:iCs w:val="0"/>
          <w:caps w:val="0"/>
          <w:color w:val="303030"/>
          <w:spacing w:val="0"/>
          <w:sz w:val="25"/>
          <w:szCs w:val="25"/>
          <w:shd w:val="clear" w:fill="FFFFFF"/>
        </w:rPr>
        <w:t>∗∗</w:t>
      </w:r>
      <w:r>
        <w:rPr>
          <w:rFonts w:hint="default" w:ascii="Arial" w:hAnsi="Arial" w:eastAsia="sans-serif" w:cs="Arial"/>
          <w:i w:val="0"/>
          <w:iCs w:val="0"/>
          <w:caps w:val="0"/>
          <w:color w:val="303030"/>
          <w:spacing w:val="0"/>
          <w:sz w:val="21"/>
          <w:szCs w:val="21"/>
          <w:shd w:val="clear" w:fill="FFFFFF"/>
        </w:rPr>
        <w:t xml:space="preserve">56 million**, a 64.7% increase. Even more impressive was the </w:t>
      </w:r>
      <w:r>
        <w:rPr>
          <w:rFonts w:hint="default" w:ascii="Arial" w:hAnsi="Arial" w:eastAsia="sans-serif" w:cs="Arial"/>
          <w:b/>
          <w:bCs/>
          <w:i w:val="0"/>
          <w:iCs w:val="0"/>
          <w:caps w:val="0"/>
          <w:color w:val="303030"/>
          <w:spacing w:val="0"/>
          <w:sz w:val="21"/>
          <w:szCs w:val="21"/>
          <w:shd w:val="clear" w:fill="FFFFFF"/>
        </w:rPr>
        <w:t>500% surge in Net Profit After Tax</w:t>
      </w:r>
      <w:r>
        <w:rPr>
          <w:rFonts w:hint="default" w:ascii="Arial" w:hAnsi="Arial" w:eastAsia="sans-serif" w:cs="Arial"/>
          <w:i w:val="0"/>
          <w:iCs w:val="0"/>
          <w:caps w:val="0"/>
          <w:color w:val="303030"/>
          <w:spacing w:val="0"/>
          <w:sz w:val="21"/>
          <w:szCs w:val="21"/>
          <w:shd w:val="clear" w:fill="FFFFFF"/>
        </w:rPr>
        <w:t>, jumping from $1 million to $6 million</w:t>
      </w:r>
    </w:p>
    <w:p w14:paraId="241A47EA">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[Accounting Ratios and supporting commentary]</w:t>
      </w:r>
    </w:p>
    <w:p w14:paraId="24D143CD">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Our profitability ratios demonstrate exceptional operational leverage:</w:t>
      </w:r>
    </w:p>
    <w:p w14:paraId="1515A43E">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EBITDA Margin:</w:t>
      </w:r>
      <w:r>
        <w:rPr>
          <w:rFonts w:hint="default" w:ascii="Arial" w:hAnsi="Arial" w:eastAsia="SimSun" w:cs="Arial"/>
          <w:spacing w:val="0"/>
          <w:kern w:val="0"/>
          <w:sz w:val="24"/>
          <w:szCs w:val="24"/>
          <w:lang w:val="en-US" w:eastAsia="zh-CN" w:bidi="ar"/>
        </w:rPr>
        <w:t xml:space="preserve"> More than doubled from 4.7% to </w:t>
      </w:r>
      <w:r>
        <w:rPr>
          <w:rFonts w:hint="default" w:ascii="Arial" w:hAnsi="Arial" w:eastAsia="SimSun" w:cs="Arial"/>
          <w:b/>
          <w:bCs/>
          <w:spacing w:val="0"/>
          <w:kern w:val="0"/>
          <w:sz w:val="24"/>
          <w:szCs w:val="24"/>
          <w:lang w:val="en-US" w:eastAsia="zh-CN" w:bidi="ar"/>
        </w:rPr>
        <w:t>10.3%</w:t>
      </w:r>
      <w:r>
        <w:rPr>
          <w:rFonts w:hint="default" w:ascii="Arial" w:hAnsi="Arial" w:eastAsia="SimSun" w:cs="Arial"/>
          <w:spacing w:val="0"/>
          <w:kern w:val="0"/>
          <w:sz w:val="24"/>
          <w:szCs w:val="24"/>
          <w:lang w:val="en-US" w:eastAsia="zh-CN" w:bidi="ar"/>
        </w:rPr>
        <w:t>.</w:t>
      </w:r>
    </w:p>
    <w:p w14:paraId="5E7462F9">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Operating Margin:</w:t>
      </w:r>
      <w:r>
        <w:rPr>
          <w:rFonts w:hint="default" w:ascii="Arial" w:hAnsi="Arial" w:eastAsia="SimSun" w:cs="Arial"/>
          <w:spacing w:val="0"/>
          <w:kern w:val="0"/>
          <w:sz w:val="24"/>
          <w:szCs w:val="24"/>
          <w:lang w:val="en-US" w:eastAsia="zh-CN" w:bidi="ar"/>
        </w:rPr>
        <w:t xml:space="preserve"> Doubled from 6% to </w:t>
      </w:r>
      <w:r>
        <w:rPr>
          <w:rFonts w:hint="default" w:ascii="Arial" w:hAnsi="Arial" w:eastAsia="SimSun" w:cs="Arial"/>
          <w:b/>
          <w:bCs/>
          <w:spacing w:val="0"/>
          <w:kern w:val="0"/>
          <w:sz w:val="24"/>
          <w:szCs w:val="24"/>
          <w:lang w:val="en-US" w:eastAsia="zh-CN" w:bidi="ar"/>
        </w:rPr>
        <w:t>12%</w:t>
      </w:r>
      <w:r>
        <w:rPr>
          <w:rFonts w:hint="default" w:ascii="Arial" w:hAnsi="Arial" w:eastAsia="SimSun" w:cs="Arial"/>
          <w:spacing w:val="0"/>
          <w:kern w:val="0"/>
          <w:sz w:val="24"/>
          <w:szCs w:val="24"/>
          <w:lang w:val="en-US" w:eastAsia="zh-CN" w:bidi="ar"/>
        </w:rPr>
        <w:t>, signaling superior cost control and pricing power.</w:t>
      </w:r>
    </w:p>
    <w:p w14:paraId="2E5097B3">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Leverage Metric:</w:t>
      </w:r>
      <w:r>
        <w:rPr>
          <w:rFonts w:hint="default" w:ascii="Arial" w:hAnsi="Arial" w:eastAsia="SimSun" w:cs="Arial"/>
          <w:spacing w:val="0"/>
          <w:kern w:val="0"/>
          <w:sz w:val="24"/>
          <w:szCs w:val="24"/>
          <w:lang w:val="en-US" w:eastAsia="zh-CN" w:bidi="ar"/>
        </w:rPr>
        <w:t xml:space="preserve"> We successfully de-risked the balance sheet, with our leverage ratio dropping from a risky 7.82 to a conservative </w:t>
      </w:r>
      <w:r>
        <w:rPr>
          <w:rFonts w:hint="default" w:ascii="Arial" w:hAnsi="Arial" w:eastAsia="SimSun" w:cs="Arial"/>
          <w:b/>
          <w:bCs/>
          <w:spacing w:val="0"/>
          <w:kern w:val="0"/>
          <w:sz w:val="24"/>
          <w:szCs w:val="24"/>
          <w:lang w:val="en-US" w:eastAsia="zh-CN" w:bidi="ar"/>
        </w:rPr>
        <w:t>1.24</w:t>
      </w:r>
      <w:r>
        <w:rPr>
          <w:rFonts w:hint="default" w:ascii="Arial" w:hAnsi="Arial" w:eastAsia="SimSun" w:cs="Arial"/>
          <w:spacing w:val="0"/>
          <w:kern w:val="0"/>
          <w:sz w:val="24"/>
          <w:szCs w:val="24"/>
          <w:lang w:val="en-US" w:eastAsia="zh-CN" w:bidi="ar"/>
        </w:rPr>
        <w:t>.</w:t>
      </w:r>
    </w:p>
    <w:p w14:paraId="34A9F2F9">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Interest Cover:</w:t>
      </w:r>
      <w:r>
        <w:rPr>
          <w:rFonts w:hint="default" w:ascii="Arial" w:hAnsi="Arial" w:eastAsia="SimSun" w:cs="Arial"/>
          <w:spacing w:val="0"/>
          <w:kern w:val="0"/>
          <w:sz w:val="24"/>
          <w:szCs w:val="24"/>
          <w:lang w:val="en-US" w:eastAsia="zh-CN" w:bidi="ar"/>
        </w:rPr>
        <w:t xml:space="preserve"> Our ability to service debt is now exceptional, with an EBITDA interest cover of </w:t>
      </w:r>
      <w:r>
        <w:rPr>
          <w:rFonts w:hint="default" w:ascii="Arial" w:hAnsi="Arial" w:eastAsia="SimSun" w:cs="Arial"/>
          <w:b/>
          <w:bCs/>
          <w:spacing w:val="0"/>
          <w:kern w:val="0"/>
          <w:sz w:val="24"/>
          <w:szCs w:val="24"/>
          <w:lang w:val="en-US" w:eastAsia="zh-CN" w:bidi="ar"/>
        </w:rPr>
        <w:t>17.58x</w:t>
      </w:r>
      <w:r>
        <w:rPr>
          <w:rFonts w:hint="default" w:ascii="Arial" w:hAnsi="Arial" w:eastAsia="SimSun" w:cs="Arial"/>
          <w:spacing w:val="0"/>
          <w:kern w:val="0"/>
          <w:sz w:val="24"/>
          <w:szCs w:val="24"/>
          <w:lang w:val="en-US" w:eastAsia="zh-CN" w:bidi="ar"/>
        </w:rPr>
        <w:t>, up from 2.8x.</w:t>
      </w:r>
    </w:p>
    <w:p w14:paraId="07B45588">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[Industry trends and supporting commentary]</w:t>
      </w:r>
    </w:p>
    <w:p w14:paraId="7D57ADC4">
      <w:pPr>
        <w:spacing w:before="100" w:beforeAutospacing="1" w:after="100" w:afterAutospacing="1" w:line="240" w:lineRule="auto"/>
        <w:rPr>
          <w:rFonts w:hint="default" w:ascii="Arial" w:hAnsi="Arial" w:eastAsia="Times New Roman" w:cs="Arial"/>
          <w:color w:val="FF0000"/>
          <w:lang w:eastAsia="en-GB"/>
        </w:rPr>
      </w:pPr>
    </w:p>
    <w:p w14:paraId="156EC8FF">
      <w:pPr>
        <w:spacing w:before="100" w:beforeAutospacing="1" w:after="100" w:afterAutospacing="1" w:line="240" w:lineRule="auto"/>
        <w:rPr>
          <w:rFonts w:eastAsia="Times New Roman" w:cstheme="minorHAnsi"/>
          <w:b/>
          <w:bCs/>
          <w:lang w:eastAsia="en-GB"/>
        </w:rPr>
      </w:pPr>
      <w:r>
        <w:rPr>
          <w:rFonts w:eastAsia="Times New Roman" w:cstheme="minorHAnsi"/>
          <w:b/>
          <w:bCs/>
          <w:lang w:eastAsia="en-GB"/>
        </w:rPr>
        <w:t>Industry Research:</w:t>
      </w:r>
    </w:p>
    <w:p w14:paraId="744D4FB7">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Visual:</w:t>
      </w:r>
      <w:r>
        <w:rPr>
          <w:rFonts w:hint="default" w:ascii="Arial" w:hAnsi="Arial" w:eastAsia="SimSun" w:cs="Arial"/>
          <w:spacing w:val="0"/>
          <w:kern w:val="0"/>
          <w:sz w:val="24"/>
          <w:szCs w:val="24"/>
          <w:lang w:val="en-US" w:eastAsia="zh-CN" w:bidi="ar"/>
        </w:rPr>
        <w:t xml:space="preserve"> A map of the UK and global market growth projections ($11.5B by 2034).</w:t>
      </w:r>
    </w:p>
    <w:p w14:paraId="237AE2FB">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Narration:</w:t>
      </w:r>
      <w:r>
        <w:rPr>
          <w:rFonts w:hint="default" w:ascii="Arial" w:hAnsi="Arial" w:eastAsia="SimSun" w:cs="Arial"/>
          <w:spacing w:val="0"/>
          <w:kern w:val="0"/>
          <w:sz w:val="24"/>
          <w:szCs w:val="24"/>
          <w:lang w:val="en-US" w:eastAsia="zh-CN" w:bidi="ar"/>
        </w:rPr>
        <w:t xml:space="preserve"> Our performance is bolstered by powerful industry tailwinds. The global reusable water bottle market is projected to exceed </w:t>
      </w:r>
      <w:r>
        <w:rPr>
          <w:rFonts w:hint="default" w:ascii="Arial" w:hAnsi="Arial" w:eastAsia="SimSun" w:cs="Arial"/>
          <w:b/>
          <w:bCs/>
          <w:spacing w:val="0"/>
          <w:kern w:val="0"/>
          <w:sz w:val="24"/>
          <w:szCs w:val="24"/>
          <w:lang w:val="en-US" w:eastAsia="zh-CN" w:bidi="ar"/>
        </w:rPr>
        <w:t>US$ 11.5 billion by 2034</w:t>
      </w:r>
      <w:r>
        <w:rPr>
          <w:rFonts w:hint="default" w:ascii="Arial" w:hAnsi="Arial" w:eastAsia="SimSun" w:cs="Arial"/>
          <w:spacing w:val="0"/>
          <w:kern w:val="0"/>
          <w:sz w:val="24"/>
          <w:szCs w:val="24"/>
          <w:lang w:val="en-US" w:eastAsia="zh-CN" w:bidi="ar"/>
        </w:rPr>
        <w:t xml:space="preserve">. Specifically, in the UK, a favorable regulatory environment—including single-use plastic bans and the plastic packaging tax—is driving consumers toward our products. Metal bottles, our primary focus, currently dominate the market with a </w:t>
      </w:r>
      <w:r>
        <w:rPr>
          <w:rFonts w:hint="default" w:ascii="Arial" w:hAnsi="Arial" w:eastAsia="SimSun" w:cs="Arial"/>
          <w:b/>
          <w:bCs/>
          <w:spacing w:val="0"/>
          <w:kern w:val="0"/>
          <w:sz w:val="24"/>
          <w:szCs w:val="24"/>
          <w:lang w:val="en-US" w:eastAsia="zh-CN" w:bidi="ar"/>
        </w:rPr>
        <w:t>42.53% share</w:t>
      </w:r>
      <w:r>
        <w:rPr>
          <w:rFonts w:hint="default" w:ascii="Arial" w:hAnsi="Arial" w:eastAsia="SimSun" w:cs="Arial"/>
          <w:spacing w:val="0"/>
          <w:kern w:val="0"/>
          <w:sz w:val="24"/>
          <w:szCs w:val="24"/>
          <w:lang w:val="en-US" w:eastAsia="zh-CN" w:bidi="ar"/>
        </w:rPr>
        <w:t xml:space="preserve"> due to their durability and insulation. With 80% of the UK population expressing a willingness to switch to reusable options, we are perfectly positioned to capture significant market share.</w:t>
      </w:r>
    </w:p>
    <w:p w14:paraId="4DC7DF8D">
      <w:pPr>
        <w:spacing w:before="100" w:beforeAutospacing="1" w:after="100" w:afterAutospacing="1" w:line="240" w:lineRule="auto"/>
        <w:rPr>
          <w:rFonts w:eastAsia="Times New Roman" w:cstheme="minorHAnsi"/>
          <w:b/>
          <w:bCs/>
          <w:lang w:eastAsia="en-GB"/>
        </w:rPr>
      </w:pPr>
    </w:p>
    <w:p w14:paraId="0794ECA9">
      <w:pPr>
        <w:spacing w:before="100" w:beforeAutospacing="1" w:after="100" w:afterAutospacing="1" w:line="240" w:lineRule="auto"/>
        <w:rPr>
          <w:rFonts w:eastAsia="Times New Roman" w:cstheme="minorHAnsi"/>
          <w:b/>
          <w:bCs/>
          <w:lang w:eastAsia="en-GB"/>
        </w:rPr>
      </w:pPr>
    </w:p>
    <w:p w14:paraId="50B5B5C5">
      <w:pPr>
        <w:spacing w:before="100" w:beforeAutospacing="1" w:after="100" w:afterAutospacing="1" w:line="240" w:lineRule="auto"/>
        <w:rPr>
          <w:rFonts w:eastAsia="Times New Roman" w:cstheme="minorHAnsi"/>
          <w:lang w:eastAsia="en-GB"/>
        </w:rPr>
      </w:pPr>
      <w:r>
        <w:rPr>
          <w:rFonts w:eastAsia="Times New Roman" w:cstheme="minorHAnsi"/>
          <w:b/>
          <w:bCs/>
          <w:lang w:eastAsia="en-GB"/>
        </w:rPr>
        <w:t>Key Findings:</w:t>
      </w:r>
    </w:p>
    <w:p w14:paraId="2E1EFE4D">
      <w:pPr>
        <w:keepNext w:val="0"/>
        <w:keepLines w:val="0"/>
        <w:widowControl/>
        <w:suppressLineNumbers w:val="0"/>
        <w:spacing w:line="300" w:lineRule="atLeast"/>
        <w:jc w:val="left"/>
        <w:rPr>
          <w:rFonts w:hint="default" w:ascii="Arial" w:hAnsi="Arial" w:eastAsia="sans-serif" w:cs="Arial"/>
          <w:spacing w:val="0"/>
          <w:sz w:val="21"/>
          <w:szCs w:val="21"/>
        </w:rPr>
      </w:pPr>
      <w:r>
        <w:rPr>
          <w:rFonts w:hint="default" w:ascii="Arial" w:hAnsi="Arial" w:eastAsia="sans-serif" w:cs="Arial"/>
          <w:b/>
          <w:bCs/>
          <w:spacing w:val="0"/>
          <w:kern w:val="0"/>
          <w:sz w:val="21"/>
          <w:szCs w:val="21"/>
          <w:lang w:val="en-US" w:eastAsia="zh-CN" w:bidi="ar"/>
        </w:rPr>
        <w:t>Findings: Financial Health, Risks, and Opportunities</w:t>
      </w:r>
    </w:p>
    <w:p w14:paraId="6DE6069C">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Visual:</w:t>
      </w:r>
      <w:r>
        <w:rPr>
          <w:rFonts w:hint="default" w:ascii="Arial" w:hAnsi="Arial" w:eastAsia="SimSun" w:cs="Arial"/>
          <w:spacing w:val="0"/>
          <w:kern w:val="0"/>
          <w:sz w:val="24"/>
          <w:szCs w:val="24"/>
          <w:lang w:val="en-US" w:eastAsia="zh-CN" w:bidi="ar"/>
        </w:rPr>
        <w:t xml:space="preserve"> A split screen: "Financial Strength" vs. "Strategic Risks."</w:t>
      </w:r>
    </w:p>
    <w:p w14:paraId="580DA401">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Narration:</w:t>
      </w:r>
      <w:r>
        <w:rPr>
          <w:rFonts w:hint="default" w:ascii="Arial" w:hAnsi="Arial" w:eastAsia="SimSun" w:cs="Arial"/>
          <w:spacing w:val="0"/>
          <w:kern w:val="0"/>
          <w:sz w:val="24"/>
          <w:szCs w:val="24"/>
          <w:lang w:val="en-US" w:eastAsia="zh-CN" w:bidi="ar"/>
        </w:rPr>
        <w:t xml:space="preserve"> Our findings reveal a company in a </w:t>
      </w:r>
      <w:r>
        <w:rPr>
          <w:rFonts w:hint="default" w:ascii="Arial" w:hAnsi="Arial" w:eastAsia="SimSun" w:cs="Arial"/>
          <w:b/>
          <w:bCs/>
          <w:spacing w:val="0"/>
          <w:kern w:val="0"/>
          <w:sz w:val="24"/>
          <w:szCs w:val="24"/>
          <w:lang w:val="en-US" w:eastAsia="zh-CN" w:bidi="ar"/>
        </w:rPr>
        <w:t>strong but high-stakes transition phase</w:t>
      </w:r>
      <w:r>
        <w:rPr>
          <w:rFonts w:hint="default" w:ascii="Arial" w:hAnsi="Arial" w:eastAsia="SimSun" w:cs="Arial"/>
          <w:spacing w:val="0"/>
          <w:kern w:val="0"/>
          <w:sz w:val="24"/>
          <w:szCs w:val="24"/>
          <w:lang w:val="en-US" w:eastAsia="zh-CN" w:bidi="ar"/>
        </w:rPr>
        <w:t>.</w:t>
      </w:r>
    </w:p>
    <w:p w14:paraId="1A06E111">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Impact on Financial Health:</w:t>
      </w:r>
      <w:r>
        <w:rPr>
          <w:rFonts w:hint="default" w:ascii="Arial" w:hAnsi="Arial" w:eastAsia="SimSun" w:cs="Arial"/>
          <w:spacing w:val="0"/>
          <w:kern w:val="0"/>
          <w:sz w:val="24"/>
          <w:szCs w:val="24"/>
          <w:lang w:val="en-US" w:eastAsia="zh-CN" w:bidi="ar"/>
        </w:rPr>
        <w:t xml:space="preserve"> We have transitioned from a low-margin operation to a </w:t>
      </w:r>
      <w:r>
        <w:rPr>
          <w:rFonts w:hint="default" w:ascii="Arial" w:hAnsi="Arial" w:eastAsia="SimSun" w:cs="Arial"/>
          <w:b/>
          <w:bCs/>
          <w:spacing w:val="0"/>
          <w:kern w:val="0"/>
          <w:sz w:val="24"/>
          <w:szCs w:val="24"/>
          <w:lang w:val="en-US" w:eastAsia="zh-CN" w:bidi="ar"/>
        </w:rPr>
        <w:t>highly profitable enterprise</w:t>
      </w:r>
      <w:r>
        <w:rPr>
          <w:rFonts w:hint="default" w:ascii="Arial" w:hAnsi="Arial" w:eastAsia="SimSun" w:cs="Arial"/>
          <w:spacing w:val="0"/>
          <w:kern w:val="0"/>
          <w:sz w:val="24"/>
          <w:szCs w:val="24"/>
          <w:lang w:val="en-US" w:eastAsia="zh-CN" w:bidi="ar"/>
        </w:rPr>
        <w:t xml:space="preserve"> with a robust physical asset base, as seen in our </w:t>
      </w:r>
      <w:r>
        <w:rPr>
          <w:rFonts w:hint="default" w:ascii="Arial" w:hAnsi="Arial" w:eastAsia="SimSun" w:cs="Arial"/>
          <w:b/>
          <w:bCs/>
          <w:spacing w:val="0"/>
          <w:kern w:val="0"/>
          <w:sz w:val="24"/>
          <w:szCs w:val="24"/>
          <w:lang w:val="en-US" w:eastAsia="zh-CN" w:bidi="ar"/>
        </w:rPr>
        <w:t>$31 million Tangible Net Worth</w:t>
      </w:r>
      <w:r>
        <w:rPr>
          <w:rFonts w:hint="default" w:ascii="Arial" w:hAnsi="Arial" w:eastAsia="SimSun" w:cs="Arial"/>
          <w:spacing w:val="0"/>
          <w:kern w:val="0"/>
          <w:sz w:val="24"/>
          <w:szCs w:val="24"/>
          <w:lang w:val="en-US" w:eastAsia="zh-CN" w:bidi="ar"/>
        </w:rPr>
        <w:t>.</w:t>
      </w:r>
    </w:p>
    <w:p w14:paraId="22E5AFBA">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Key Risks:</w:t>
      </w:r>
      <w:r>
        <w:rPr>
          <w:rFonts w:hint="default" w:ascii="Arial" w:hAnsi="Arial" w:eastAsia="SimSun" w:cs="Arial"/>
          <w:spacing w:val="0"/>
          <w:kern w:val="0"/>
          <w:sz w:val="24"/>
          <w:szCs w:val="24"/>
          <w:lang w:val="en-US" w:eastAsia="zh-CN" w:bidi="ar"/>
        </w:rPr>
        <w:t xml:space="preserve"> The most significant risk is an </w:t>
      </w:r>
      <w:r>
        <w:rPr>
          <w:rFonts w:hint="default" w:ascii="Arial" w:hAnsi="Arial" w:eastAsia="SimSun" w:cs="Arial"/>
          <w:b/>
          <w:bCs/>
          <w:spacing w:val="0"/>
          <w:kern w:val="0"/>
          <w:sz w:val="24"/>
          <w:szCs w:val="24"/>
          <w:lang w:val="en-US" w:eastAsia="zh-CN" w:bidi="ar"/>
        </w:rPr>
        <w:t>execution anomaly</w:t>
      </w:r>
      <w:r>
        <w:rPr>
          <w:rFonts w:hint="default" w:ascii="Arial" w:hAnsi="Arial" w:eastAsia="SimSun" w:cs="Arial"/>
          <w:spacing w:val="0"/>
          <w:kern w:val="0"/>
          <w:sz w:val="24"/>
          <w:szCs w:val="24"/>
          <w:lang w:val="en-US" w:eastAsia="zh-CN" w:bidi="ar"/>
        </w:rPr>
        <w:t xml:space="preserve">: we have committed to a staggering </w:t>
      </w:r>
      <w:r>
        <w:rPr>
          <w:rFonts w:hint="default" w:ascii="Arial" w:hAnsi="Arial" w:eastAsia="SimSun" w:cs="Arial"/>
          <w:b/>
          <w:bCs/>
          <w:spacing w:val="0"/>
          <w:kern w:val="0"/>
          <w:sz w:val="24"/>
          <w:szCs w:val="24"/>
          <w:lang w:val="en-US" w:eastAsia="zh-CN" w:bidi="ar"/>
        </w:rPr>
        <w:t>$8 billion in Capital Expenditure (CapEx)</w:t>
      </w:r>
      <w:r>
        <w:rPr>
          <w:rFonts w:hint="default" w:ascii="Arial" w:hAnsi="Arial" w:eastAsia="SimSun" w:cs="Arial"/>
          <w:spacing w:val="0"/>
          <w:kern w:val="0"/>
          <w:sz w:val="24"/>
          <w:szCs w:val="24"/>
          <w:lang w:val="en-US" w:eastAsia="zh-CN" w:bidi="ar"/>
        </w:rPr>
        <w:t xml:space="preserve">. This "mega-project" phase dwarfs our current $56 million revenue, meaning our future hinges entirely on the </w:t>
      </w:r>
      <w:r>
        <w:rPr>
          <w:rFonts w:hint="default" w:ascii="Arial" w:hAnsi="Arial" w:eastAsia="SimSun" w:cs="Arial"/>
          <w:b/>
          <w:bCs/>
          <w:spacing w:val="0"/>
          <w:kern w:val="0"/>
          <w:sz w:val="24"/>
          <w:szCs w:val="24"/>
          <w:lang w:val="en-US" w:eastAsia="zh-CN" w:bidi="ar"/>
        </w:rPr>
        <w:t>Return on Invested Capital (ROIC)</w:t>
      </w:r>
      <w:r>
        <w:rPr>
          <w:rFonts w:hint="default" w:ascii="Arial" w:hAnsi="Arial" w:eastAsia="SimSun" w:cs="Arial"/>
          <w:spacing w:val="0"/>
          <w:kern w:val="0"/>
          <w:sz w:val="24"/>
          <w:szCs w:val="24"/>
          <w:lang w:val="en-US" w:eastAsia="zh-CN" w:bidi="ar"/>
        </w:rPr>
        <w:t xml:space="preserve"> from these assets. Additionally, our </w:t>
      </w:r>
      <w:r>
        <w:rPr>
          <w:rFonts w:hint="default" w:ascii="Arial" w:hAnsi="Arial" w:eastAsia="SimSun" w:cs="Arial"/>
          <w:b/>
          <w:bCs/>
          <w:spacing w:val="0"/>
          <w:kern w:val="0"/>
          <w:sz w:val="24"/>
          <w:szCs w:val="24"/>
          <w:lang w:val="en-US" w:eastAsia="zh-CN" w:bidi="ar"/>
        </w:rPr>
        <w:t>Current Ratio dropped from 1.88 to 1.38</w:t>
      </w:r>
      <w:r>
        <w:rPr>
          <w:rFonts w:hint="default" w:ascii="Arial" w:hAnsi="Arial" w:eastAsia="SimSun" w:cs="Arial"/>
          <w:spacing w:val="0"/>
          <w:kern w:val="0"/>
          <w:sz w:val="24"/>
          <w:szCs w:val="24"/>
          <w:lang w:val="en-US" w:eastAsia="zh-CN" w:bidi="ar"/>
        </w:rPr>
        <w:t>, indicating tightening short-term liquidity as cash is tied up in inventory and long-term expansion.</w:t>
      </w:r>
    </w:p>
    <w:p w14:paraId="3BC6A78D">
      <w:pPr>
        <w:keepNext w:val="0"/>
        <w:keepLines w:val="0"/>
        <w:widowControl/>
        <w:suppressLineNumbers w:val="0"/>
        <w:jc w:val="left"/>
        <w:rPr>
          <w:rFonts w:hint="default" w:ascii="Arial" w:hAnsi="Arial" w:cs="Arial"/>
          <w:spacing w:val="0"/>
        </w:rPr>
      </w:pPr>
      <w:r>
        <w:rPr>
          <w:rFonts w:hint="default" w:ascii="Arial" w:hAnsi="Arial" w:eastAsia="SimSun" w:cs="Arial"/>
          <w:spacing w:val="0"/>
          <w:kern w:val="0"/>
          <w:sz w:val="24"/>
          <w:szCs w:val="24"/>
          <w:lang w:val="en-US" w:eastAsia="zh-CN" w:bidi="ar"/>
        </w:rPr>
        <w:t xml:space="preserve">• </w:t>
      </w:r>
      <w:r>
        <w:rPr>
          <w:rFonts w:hint="default" w:ascii="Arial" w:hAnsi="Arial" w:eastAsia="SimSun" w:cs="Arial"/>
          <w:b/>
          <w:bCs/>
          <w:spacing w:val="0"/>
          <w:kern w:val="0"/>
          <w:sz w:val="24"/>
          <w:szCs w:val="24"/>
          <w:lang w:val="en-US" w:eastAsia="zh-CN" w:bidi="ar"/>
        </w:rPr>
        <w:t>Opportunities:</w:t>
      </w:r>
      <w:r>
        <w:rPr>
          <w:rFonts w:hint="default" w:ascii="Arial" w:hAnsi="Arial" w:eastAsia="SimSun" w:cs="Arial"/>
          <w:spacing w:val="0"/>
          <w:kern w:val="0"/>
          <w:sz w:val="24"/>
          <w:szCs w:val="24"/>
          <w:lang w:val="en-US" w:eastAsia="zh-CN" w:bidi="ar"/>
        </w:rPr>
        <w:t xml:space="preserve"> Our high interest cover and "net cash" position make us </w:t>
      </w:r>
      <w:r>
        <w:rPr>
          <w:rFonts w:hint="default" w:ascii="Arial" w:hAnsi="Arial" w:eastAsia="SimSun" w:cs="Arial"/>
          <w:b/>
          <w:bCs/>
          <w:spacing w:val="0"/>
          <w:kern w:val="0"/>
          <w:sz w:val="24"/>
          <w:szCs w:val="24"/>
          <w:lang w:val="en-US" w:eastAsia="zh-CN" w:bidi="ar"/>
        </w:rPr>
        <w:t>highly creditworthy</w:t>
      </w:r>
      <w:r>
        <w:rPr>
          <w:rFonts w:hint="default" w:ascii="Arial" w:hAnsi="Arial" w:eastAsia="SimSun" w:cs="Arial"/>
          <w:spacing w:val="0"/>
          <w:kern w:val="0"/>
          <w:sz w:val="24"/>
          <w:szCs w:val="24"/>
          <w:lang w:val="en-US" w:eastAsia="zh-CN" w:bidi="ar"/>
        </w:rPr>
        <w:t>, providing a prime opportunity to secure the funding needed to finalize our green infrastructure.</w:t>
      </w:r>
    </w:p>
    <w:p w14:paraId="707B945A">
      <w:pPr>
        <w:spacing w:before="100" w:beforeAutospacing="1" w:after="100" w:afterAutospacing="1" w:line="240" w:lineRule="auto"/>
        <w:rPr>
          <w:rFonts w:eastAsia="Times New Roman" w:cstheme="minorHAnsi"/>
          <w:color w:val="FF0000"/>
          <w:lang w:eastAsia="en-GB"/>
        </w:rPr>
      </w:pPr>
    </w:p>
    <w:p w14:paraId="2BAFCF06">
      <w:pPr>
        <w:spacing w:before="100" w:beforeAutospacing="1" w:after="100" w:afterAutospacing="1" w:line="240" w:lineRule="auto"/>
        <w:rPr>
          <w:rFonts w:eastAsia="Times New Roman" w:cstheme="minorHAnsi"/>
          <w:color w:val="FF0000"/>
          <w:lang w:eastAsia="en-GB"/>
        </w:rPr>
      </w:pPr>
      <w:r>
        <w:rPr>
          <w:rFonts w:eastAsia="Times New Roman" w:cstheme="minorHAnsi"/>
          <w:color w:val="FF0000"/>
          <w:lang w:eastAsia="en-GB"/>
        </w:rPr>
        <w:t>[Commentary]</w:t>
      </w:r>
    </w:p>
    <w:p w14:paraId="31D12A23">
      <w:pPr>
        <w:spacing w:before="100" w:beforeAutospacing="1" w:after="100" w:afterAutospacing="1" w:line="240" w:lineRule="auto"/>
        <w:rPr>
          <w:rFonts w:hint="default" w:ascii="Arial" w:hAnsi="Arial" w:eastAsia="Times New Roman" w:cs="Arial"/>
          <w:lang w:eastAsia="en-GB"/>
        </w:rPr>
      </w:pPr>
      <w:r>
        <w:rPr>
          <w:rFonts w:hint="default" w:ascii="Arial" w:hAnsi="Arial" w:eastAsia="Times New Roman" w:cs="Arial"/>
          <w:b/>
          <w:bCs/>
          <w:lang w:eastAsia="en-GB"/>
        </w:rPr>
        <w:t>Conclusion:</w:t>
      </w:r>
    </w:p>
    <w:p w14:paraId="11BA0ED0">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Visual:</w:t>
      </w:r>
      <w:r>
        <w:rPr>
          <w:rFonts w:hint="default" w:ascii="Arial" w:hAnsi="Arial" w:eastAsia="SimSun" w:cs="Arial"/>
          <w:spacing w:val="0"/>
          <w:kern w:val="0"/>
          <w:sz w:val="24"/>
          <w:szCs w:val="24"/>
          <w:lang w:val="en-US" w:eastAsia="zh-CN" w:bidi="ar"/>
        </w:rPr>
        <w:t xml:space="preserve"> Summary chart showing the trajectory of Green Solutions Manufacturing Ltd.</w:t>
      </w:r>
    </w:p>
    <w:p w14:paraId="166BA576">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Narration:</w:t>
      </w:r>
      <w:r>
        <w:rPr>
          <w:rFonts w:hint="default" w:ascii="Arial" w:hAnsi="Arial" w:eastAsia="SimSun" w:cs="Arial"/>
          <w:spacing w:val="0"/>
          <w:kern w:val="0"/>
          <w:sz w:val="24"/>
          <w:szCs w:val="24"/>
          <w:lang w:val="en-US" w:eastAsia="zh-CN" w:bidi="ar"/>
        </w:rPr>
        <w:t xml:space="preserve"> In summary, Green Solutions Manufacturing Ltd. has delivered phenomenal financial results, backed by </w:t>
      </w:r>
      <w:r>
        <w:rPr>
          <w:rFonts w:hint="default" w:ascii="Arial" w:hAnsi="Arial" w:eastAsia="SimSun" w:cs="Arial"/>
          <w:b/>
          <w:bCs/>
          <w:spacing w:val="0"/>
          <w:kern w:val="0"/>
          <w:sz w:val="24"/>
          <w:szCs w:val="24"/>
          <w:lang w:val="en-US" w:eastAsia="zh-CN" w:bidi="ar"/>
        </w:rPr>
        <w:t>$11 million in operating cash flow</w:t>
      </w:r>
      <w:r>
        <w:rPr>
          <w:rFonts w:hint="default" w:ascii="Arial" w:hAnsi="Arial" w:eastAsia="SimSun" w:cs="Arial"/>
          <w:spacing w:val="0"/>
          <w:kern w:val="0"/>
          <w:sz w:val="24"/>
          <w:szCs w:val="24"/>
          <w:lang w:val="en-US" w:eastAsia="zh-CN" w:bidi="ar"/>
        </w:rPr>
        <w:t>. We are not just getting bigger; we are becoming more efficient and physically wealthier.</w:t>
      </w:r>
    </w:p>
    <w:p w14:paraId="10573A8E">
      <w:pPr>
        <w:keepNext w:val="0"/>
        <w:keepLines w:val="0"/>
        <w:widowControl/>
        <w:suppressLineNumbers w:val="0"/>
        <w:jc w:val="left"/>
        <w:rPr>
          <w:rFonts w:hint="default" w:ascii="Arial" w:hAnsi="Arial" w:cs="Arial"/>
          <w:spacing w:val="0"/>
        </w:rPr>
      </w:pPr>
      <w:r>
        <w:rPr>
          <w:rFonts w:hint="default" w:ascii="Arial" w:hAnsi="Arial" w:eastAsia="SimSun" w:cs="Arial"/>
          <w:b/>
          <w:bCs/>
          <w:spacing w:val="0"/>
          <w:kern w:val="0"/>
          <w:sz w:val="24"/>
          <w:szCs w:val="24"/>
          <w:lang w:val="en-US" w:eastAsia="zh-CN" w:bidi="ar"/>
        </w:rPr>
        <w:t>Our Recommendation:</w:t>
      </w:r>
      <w:r>
        <w:rPr>
          <w:rFonts w:hint="default" w:ascii="Arial" w:hAnsi="Arial" w:eastAsia="SimSun" w:cs="Arial"/>
          <w:spacing w:val="0"/>
          <w:kern w:val="0"/>
          <w:sz w:val="24"/>
          <w:szCs w:val="24"/>
          <w:lang w:val="en-US" w:eastAsia="zh-CN" w:bidi="ar"/>
        </w:rPr>
        <w:t xml:space="preserve"> To sustain this high-stakes expansion, we must </w:t>
      </w:r>
      <w:r>
        <w:rPr>
          <w:rFonts w:hint="default" w:ascii="Arial" w:hAnsi="Arial" w:eastAsia="SimSun" w:cs="Arial"/>
          <w:b/>
          <w:bCs/>
          <w:spacing w:val="0"/>
          <w:kern w:val="0"/>
          <w:sz w:val="24"/>
          <w:szCs w:val="24"/>
          <w:lang w:val="en-US" w:eastAsia="zh-CN" w:bidi="ar"/>
        </w:rPr>
        <w:t>prioritize working capital optimization</w:t>
      </w:r>
      <w:r>
        <w:rPr>
          <w:rFonts w:hint="default" w:ascii="Arial" w:hAnsi="Arial" w:eastAsia="SimSun" w:cs="Arial"/>
          <w:spacing w:val="0"/>
          <w:kern w:val="0"/>
          <w:sz w:val="24"/>
          <w:szCs w:val="24"/>
          <w:lang w:val="en-US" w:eastAsia="zh-CN" w:bidi="ar"/>
        </w:rPr>
        <w:t>. Management should accelerate receivables and optimize inventory turnover to ensure we don’t face a liquidity crunch. Given our record profitability and low leverage, we are in an excellent position to secure the requested credit and cement our dominance in the sustainable drinkware market.</w:t>
      </w:r>
    </w:p>
    <w:p w14:paraId="01854AE0">
      <w:pPr>
        <w:spacing w:before="100" w:beforeAutospacing="1" w:after="100" w:afterAutospacing="1" w:line="240" w:lineRule="auto"/>
        <w:rPr>
          <w:rFonts w:hint="default" w:ascii="Arial" w:hAnsi="Arial" w:eastAsia="Times New Roman" w:cs="Arial"/>
          <w:color w:val="FF0000"/>
          <w:lang w:eastAsia="en-GB"/>
        </w:rPr>
      </w:pPr>
    </w:p>
    <w:p w14:paraId="6DE2CD47">
      <w:pPr>
        <w:spacing w:before="100" w:beforeAutospacing="1" w:after="100" w:afterAutospacing="1" w:line="240" w:lineRule="auto"/>
        <w:rPr>
          <w:rFonts w:hint="default" w:ascii="Arial" w:hAnsi="Arial" w:eastAsia="Times New Roman" w:cs="Arial"/>
          <w:color w:val="FF0000"/>
          <w:lang w:eastAsia="en-GB"/>
        </w:rPr>
      </w:pPr>
      <w:r>
        <w:rPr>
          <w:rFonts w:hint="default" w:ascii="Arial" w:hAnsi="Arial" w:eastAsia="sans-serif" w:cs="Arial"/>
          <w:b/>
          <w:bCs/>
          <w:i w:val="0"/>
          <w:iCs w:val="0"/>
          <w:caps w:val="0"/>
          <w:color w:val="303030"/>
          <w:spacing w:val="0"/>
          <w:sz w:val="21"/>
          <w:szCs w:val="21"/>
          <w:shd w:val="clear" w:fill="FFFFFF"/>
        </w:rPr>
        <w:t>Analogy for Understanding:</w:t>
      </w:r>
      <w:r>
        <w:rPr>
          <w:rFonts w:hint="default" w:ascii="Arial" w:hAnsi="Arial" w:eastAsia="sans-serif" w:cs="Arial"/>
          <w:i w:val="0"/>
          <w:iCs w:val="0"/>
          <w:caps w:val="0"/>
          <w:color w:val="303030"/>
          <w:spacing w:val="0"/>
          <w:sz w:val="21"/>
          <w:szCs w:val="21"/>
          <w:shd w:val="clear" w:fill="FFFFFF"/>
        </w:rPr>
        <w:t xml:space="preserve"> To help visualize the current state of Green Solutions, imagine a </w:t>
      </w:r>
      <w:r>
        <w:rPr>
          <w:rFonts w:hint="default" w:ascii="Arial" w:hAnsi="Arial" w:eastAsia="sans-serif" w:cs="Arial"/>
          <w:b/>
          <w:bCs/>
          <w:i w:val="0"/>
          <w:iCs w:val="0"/>
          <w:caps w:val="0"/>
          <w:color w:val="303030"/>
          <w:spacing w:val="0"/>
          <w:sz w:val="21"/>
          <w:szCs w:val="21"/>
          <w:shd w:val="clear" w:fill="FFFFFF"/>
        </w:rPr>
        <w:t>high-performance racing team</w:t>
      </w:r>
      <w:r>
        <w:rPr>
          <w:rFonts w:hint="default" w:ascii="Arial" w:hAnsi="Arial" w:eastAsia="sans-serif" w:cs="Arial"/>
          <w:i w:val="0"/>
          <w:iCs w:val="0"/>
          <w:caps w:val="0"/>
          <w:color w:val="303030"/>
          <w:spacing w:val="0"/>
          <w:sz w:val="21"/>
          <w:szCs w:val="21"/>
          <w:shd w:val="clear" w:fill="FFFFFF"/>
        </w:rPr>
        <w:t xml:space="preserve"> that has just upgraded its engine to be five times more powerful. While the car is now much faster and more efficient on the track, it is consuming fuel (cash) at a much higher rate to maintain that speed. The team must now manage its pit stops (liquidity) perfectly to ensure the car doesn't run out of fuel before it reaches the finish line.</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KaTeX_Math">
    <w:altName w:val="Segoe Print"/>
    <w:panose1 w:val="00000000000000000000"/>
    <w:charset w:val="00"/>
    <w:family w:val="auto"/>
    <w:pitch w:val="default"/>
    <w:sig w:usb0="00000000" w:usb1="00000000" w:usb2="00000000" w:usb3="00000000" w:csb0="00000000" w:csb1="00000000"/>
  </w:font>
  <w:font w:name="Segoe UI Variable Display Semi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Ravie">
    <w:panose1 w:val="040408050508090206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M3MzAyNDM1s7C0NLVQ0lEKTi0uzszPAykwqgUA4p+5oSwAAAA="/>
  </w:docVars>
  <w:rsids>
    <w:rsidRoot w:val="0044110D"/>
    <w:rsid w:val="00035945"/>
    <w:rsid w:val="00043818"/>
    <w:rsid w:val="00127CA4"/>
    <w:rsid w:val="00172ADB"/>
    <w:rsid w:val="00180905"/>
    <w:rsid w:val="002D3D42"/>
    <w:rsid w:val="003003D7"/>
    <w:rsid w:val="00335530"/>
    <w:rsid w:val="003937FA"/>
    <w:rsid w:val="003A66AB"/>
    <w:rsid w:val="00403664"/>
    <w:rsid w:val="0044110D"/>
    <w:rsid w:val="006068DC"/>
    <w:rsid w:val="00637E7D"/>
    <w:rsid w:val="006F1132"/>
    <w:rsid w:val="00700DC8"/>
    <w:rsid w:val="00705A17"/>
    <w:rsid w:val="00765EEC"/>
    <w:rsid w:val="00825CDE"/>
    <w:rsid w:val="00880882"/>
    <w:rsid w:val="00991E37"/>
    <w:rsid w:val="00AB2243"/>
    <w:rsid w:val="00AE3AEA"/>
    <w:rsid w:val="00B015E2"/>
    <w:rsid w:val="00B96494"/>
    <w:rsid w:val="00BD5855"/>
    <w:rsid w:val="00CC79F0"/>
    <w:rsid w:val="00DA007B"/>
    <w:rsid w:val="00E05C05"/>
    <w:rsid w:val="00E241C9"/>
    <w:rsid w:val="00EB2205"/>
    <w:rsid w:val="00F52EBD"/>
    <w:rsid w:val="00F752FD"/>
    <w:rsid w:val="2F3A1B16"/>
    <w:rsid w:val="753634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GB"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14:textFill>
        <w14:solidFill>
          <w14:schemeClr w14:val="hlink"/>
        </w14:solidFill>
      </w14:textFill>
    </w:r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52</Words>
  <Characters>302</Characters>
  <Lines>2</Lines>
  <Paragraphs>1</Paragraphs>
  <TotalTime>2880</TotalTime>
  <ScaleCrop>false</ScaleCrop>
  <LinksUpToDate>false</LinksUpToDate>
  <CharactersWithSpaces>353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2022-03-07T04:45:00Z</dcterms:created>
  <dc:creator> </dc:creator>
  <cp:lastModifiedBy>SOAR</cp:lastModifiedBy>
  <dcterms:modified xsi:type="dcterms:W3CDTF">2025-12-23T23:44:45Z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6F74E9D17F9644FEBB10C27C3568D342_12</vt:lpwstr>
  </property>
</Properties>
</file>