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1F3864"/>
          <w:sz w:val="52"/>
          <w:szCs w:val="52"/>
        </w:rPr>
        <w:t xml:space="preserve">Guide de montée en compétences</w:t>
      </w:r>
    </w:p>
    <w:p>
      <w:pPr>
        <w:spacing w:after="400"/>
      </w:pPr>
      <w:r>
        <w:rPr>
          <w:color w:val="2E75B6"/>
          <w:sz w:val="32"/>
          <w:szCs w:val="32"/>
        </w:rPr>
        <w:t xml:space="preserve">Contrôle de gestion – Analyse des coûts en assurance</w:t>
      </w:r>
    </w:p>
    <w:p>
      <w:pPr>
        <w:pBdr>
          <w:bottom w:val="single" w:color="1F3864" w:sz="12" w:space="4"/>
        </w:pBdr>
      </w:pPr>
    </w:p>
    <w:p>
      <w:pPr>
        <w:spacing w:after="200" w:before="300"/>
      </w:pPr>
      <w:r>
        <w:t xml:space="preserve">Programme de 16 semaines (≈ 6 h / semaine) construit à partir des missions d'un poste de contrôleuse de gestion – analyse des coûts : inducteurs ABC sous SAP PCM, bridges trimestriels, études de coûts, refacturations inter-entités, IFRS 17 et déploiement d'un nouvel outil de répartition.</w:t>
      </w:r>
    </w:p>
    <w:p>
      <w:pPr>
        <w:spacing w:after="120"/>
      </w:pPr>
      <w:r>
        <w:rPr>
          <w:b/>
          <w:bCs/>
        </w:rPr>
        <w:t xml:space="preserve">À utiliser avec le classeur Excel</w:t>
      </w:r>
      <w:r>
        <w:t xml:space="preserve"> « Plan_competences_Controle_de_gestion.xlsx » : plan détaillé, matrice de compétences, tableau de bord et trois exercices chiffrés (ABC, bridge, refacturation).</w:t>
      </w:r>
    </w:p>
    <w:p>
      <w:r>
        <w:br w:type="page"/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Comment utiliser ce guide</w:t>
      </w:r>
    </w:p>
    <w:p>
      <w:pPr>
        <w:spacing w:after="120"/>
      </w:pPr>
      <w:r>
        <w:t xml:space="preserve">Chaque module suit la même structure : </w:t>
      </w:r>
      <w:r>
        <w:rPr>
          <w:b/>
          <w:bCs/>
        </w:rPr>
        <w:t xml:space="preserve">objectifs</w:t>
      </w:r>
      <w:r>
        <w:t xml:space="preserve">, </w:t>
      </w:r>
      <w:r>
        <w:rPr>
          <w:b/>
          <w:bCs/>
        </w:rPr>
        <w:t xml:space="preserve">concepts clés</w:t>
      </w:r>
      <w:r>
        <w:t xml:space="preserve">, </w:t>
      </w:r>
      <w:r>
        <w:rPr>
          <w:b/>
          <w:bCs/>
        </w:rPr>
        <w:t xml:space="preserve">méthode pas à pas</w:t>
      </w:r>
      <w:r>
        <w:t xml:space="preserve">, </w:t>
      </w:r>
      <w:r>
        <w:rPr>
          <w:b/>
          <w:bCs/>
        </w:rPr>
        <w:t xml:space="preserve">pièges à éviter</w:t>
      </w:r>
      <w:r>
        <w:t xml:space="preserve"> et, le cas échéant, un </w:t>
      </w:r>
      <w:r>
        <w:rPr>
          <w:b/>
          <w:bCs/>
        </w:rPr>
        <w:t xml:space="preserve">exercice</w:t>
      </w:r>
      <w:r>
        <w:t xml:space="preserve"> relié au classeur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Faites votre auto-évaluation dans l'onglet « Compétences » (niveau 1 à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Suivez le plan semaine par semaine (onglet « Plan ») et saisissez vos heures et statuts.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Produisez le livrable de chaque tâche : c'est lui qui prouve la compétence.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Consultez le « Tableau de bord » chaque semaine ; refaites l'auto-évaluation en semaine 16.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</w:pPr>
      <w:r>
        <w:rPr>
          <w:b/>
          <w:bCs/>
        </w:rPr>
        <w:t xml:space="preserve">Règle d'or : </w:t>
      </w:r>
      <w:r>
        <w:t xml:space="preserve">un livrable concret par semaine vaut mieux que dix heures de lecture. Gardez vos livrables dans un portfolio : ils serviront en entretien annuel ou en recrutement.</w:t>
      </w:r>
    </w:p>
    <w:p>
      <w:pPr>
        <w:pStyle w:val="Heading1"/>
      </w:pPr>
      <w:r>
        <w:t xml:space="preserve">2. Cartographie des compétences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38"/>
        <w:gridCol w:w="16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Compétence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Missions du profil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Comptabilité analytique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Répartition des frais généraux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avancé / Power Query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Toutes les analyses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Méthode ABC – inducteurs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Élaboration des inducteurs de ressources et d'activités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SAP PCM / outils de répartition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Répartition via SAP PCM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M4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Analyse des écarts – bridges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Analyse trimestrielle des résultats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Refacturations inter-entités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Suivi et mise en œuvre des refacturations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IFRS 17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Ajustement du modèle de répartition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M7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Gestion de projet outil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Déploiement du nouvel outil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M8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Études de coûts &amp; restitution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Études diverses, restitution d'analyses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M9</w:t>
            </w:r>
          </w:p>
        </w:tc>
      </w:tr>
    </w:tbl>
    <w:p>
      <w:pPr>
        <w:pStyle w:val="Heading1"/>
      </w:pPr>
      <w:r>
        <w:t xml:space="preserve">3. Plan de 16 semaines – 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8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Semaines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Livrable de validation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Comptabilité analytique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Tableau de répartition + fiche nature → destination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Excel &amp; Power Query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Modèle structuré avec requête rafraîchissable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5–6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ABC &amp; inducteurs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Exercice ABC + 3 fiches inducteurs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7–8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M4 SAP PCM &amp; outils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Cartographie de modèle + tableau de bouclage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9–10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M5 Bridges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Bridge commenté + note trimestrielle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M6 Refacturations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Tableau de refacturation contrôlé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12–13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M7 IFRS 17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Grille attribuable / non attribuable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M8 Projet outil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de recette (10 cas de tests)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M9 Études &amp; restitution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Tableau de bord Power BI + plan d'étude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 de synthèse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Dossier complet + auto-évaluation finale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Modules de formation</w:t>
      </w:r>
    </w:p>
    <w:p>
      <w:pPr>
        <w:pStyle w:val="Heading2"/>
      </w:pPr>
      <w:r>
        <w:t xml:space="preserve">Module 1 – Comptabilité analytique et calcul des coûts</w:t>
      </w:r>
    </w:p>
    <w:p>
      <w:pPr>
        <w:spacing w:after="120"/>
      </w:pPr>
      <w:r>
        <w:rPr>
          <w:i/>
          <w:iCs/>
          <w:color w:val="595959"/>
        </w:rPr>
        <w:t xml:space="preserve">Semaines 1–2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Distinguer charges directes / indirectes et fixes / variables sans hésitation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Construire un tableau de répartition (centres d'analyse) primaire et secondaire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Passer des frais par nature aux frais par destination propres à l'assurance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Coût complet</w:t>
      </w:r>
      <w:r>
        <w:t xml:space="preserve"> : intègre toutes les charges, directes et indirectes. </w:t>
      </w:r>
      <w:r>
        <w:rPr>
          <w:b/>
          <w:bCs/>
        </w:rPr>
        <w:t xml:space="preserve">Coût partiel</w:t>
      </w:r>
      <w:r>
        <w:t xml:space="preserve"> (variable, direct) : n'en retient qu'une partie pour éclairer une décision.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Centres d'analyse</w:t>
      </w:r>
      <w:r>
        <w:t xml:space="preserve"> : regroupent les charges indirectes ; elles sont ensuite imputées aux produits via une </w:t>
      </w:r>
      <w:r>
        <w:rPr>
          <w:b/>
          <w:bCs/>
        </w:rPr>
        <w:t xml:space="preserve">unité d'œuvre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Assurance</w:t>
      </w:r>
      <w:r>
        <w:t xml:space="preserve"> : les charges sont présentées par </w:t>
      </w:r>
      <w:r>
        <w:rPr>
          <w:b/>
          <w:bCs/>
        </w:rPr>
        <w:t xml:space="preserve">destination</w:t>
      </w:r>
      <w:r>
        <w:t xml:space="preserve"> — frais d'acquisition, d'administration, de règlement des sinistres/prestations, de gestion des placements, autres charges techniques. Le contrôleur de gestion est au cœur de ce passage nature → destination.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Lister les charges par nature (balance analytique)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Affecter les charges directes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Répartir les charges indirectes sur les centres (clés primaires)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Vider les centres auxiliaires dans les centres principaux (répartition secondaire)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Imputer aux objets de coût et contrôler : total réparti = total des charges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Oublier le contrôle de bouclage avec la comptabilité générale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Utiliser une clé non documentée ou non mise à jour</w:t>
      </w:r>
    </w:p>
    <w:p>
      <w:pPr>
        <w:pStyle w:val="Heading2"/>
      </w:pPr>
      <w:r>
        <w:t xml:space="preserve">Module 2 – Excel avancé et Power Query</w:t>
      </w:r>
    </w:p>
    <w:p>
      <w:pPr>
        <w:spacing w:after="120"/>
      </w:pPr>
      <w:r>
        <w:rPr>
          <w:i/>
          <w:iCs/>
          <w:color w:val="595959"/>
        </w:rPr>
        <w:t xml:space="preserve">Semaines 3–4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Maîtriser les fonctions de recherche et d'agrégation conditionnelle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Automatiser l'import et le nettoyage des données avec Power Query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Construire des modèles lisibles, contrôlés et transmissibles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Fonctions clés</w:t>
      </w:r>
      <w:r>
        <w:t xml:space="preserve"> : INDEX/EQUIV (ou RECHERCHEX), SOMME.SI.ENS, NB.SI.ENS, SOMMEPROD, SIERREUR.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TCD</w:t>
      </w:r>
      <w:r>
        <w:t xml:space="preserve"> : analyser en quelques clics les coûts par centre, nature, période.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Power Query</w:t>
      </w:r>
      <w:r>
        <w:t xml:space="preserve"> : requêtes rafraîchissables qui remplacent les copier-coller mensuels.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Architecture</w:t>
      </w:r>
      <w:r>
        <w:t xml:space="preserve"> : onglets Hypothèses → Calculs → Restitution, un onglet Contrôles, aucune valeur « en dur » dans les formules.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Partir d'une extraction brute (balance analytique)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charger dans Power Query, typer les colonnes, supprimer les lignes parasites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Fusionner avec un référentiel (centres, activités)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Restituer via TCD et formules SOMME.SI.ENS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Ajouter des contrôles : totaux, écarts, alertes en couleur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Formules avec chiffres en dur (=B5*1,05)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Plages fixes qui ne suivent pas l'ajout de lignes : préférer les tableaux structurés</w:t>
      </w:r>
    </w:p>
    <w:p>
      <w:pPr>
        <w:pStyle w:val="Heading2"/>
      </w:pPr>
      <w:r>
        <w:t xml:space="preserve">Module 3 – Méthode ABC et inducteurs</w:t>
      </w:r>
    </w:p>
    <w:p>
      <w:pPr>
        <w:spacing w:after="120"/>
      </w:pPr>
      <w:r>
        <w:rPr>
          <w:i/>
          <w:iCs/>
          <w:color w:val="595959"/>
        </w:rPr>
        <w:t xml:space="preserve">Semaines 5–6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Expliquer la chaîne ressources → activités → objets de coût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Choisir, documenter et défendre un inducteur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Mesurer la sensibilité des résultats au choix des clés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Inducteur de ressources</w:t>
      </w:r>
      <w:r>
        <w:t xml:space="preserve"> : mesure la consommation d'une ressource par une activité (ex. % de temps, m², nombre de postes).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Inducteur d'activité</w:t>
      </w:r>
      <w:r>
        <w:t xml:space="preserve"> : mesure la consommation d'une activité par un objet de coût (ex. nombre de contrats, de dossiers de prestations, encours).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Coût unitaire d'inducteur</w:t>
      </w:r>
      <w:r>
        <w:t xml:space="preserve"> = coût de l'activité ÷ volume total de l'inducteur.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TDABC</w:t>
      </w:r>
      <w:r>
        <w:t xml:space="preserve"> (Time-Driven ABC, Kaplan &amp; Anderson) : on valorise des temps unitaires à un coût par minute de capacité pratique — plus simple à maintenir qu'un ABC classique.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Cartographier les activités (5 à 15, pas plus au départ)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Collecter les inducteurs de ressources (enquêtes temps, référentiels RH, IT)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Calculer le coût de chaque activité (onglet « Exercice ABC », section 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Choisir un inducteur d'activité par activité, avec sa source de données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Affecter aux produits, contrôler le bouclage, analyser les coûts unitaires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Trop d'activités : le modèle devient impossible à maintenir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Inducteur pertinent mais donnée indisponible ou peu fiable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</w:pPr>
      <w:r>
        <w:rPr>
          <w:b/>
          <w:bCs/>
        </w:rPr>
        <w:t xml:space="preserve">Exercice : </w:t>
      </w:r>
      <w:r>
        <w:t xml:space="preserve">Dans l'onglet « Exercice ABC », passez la part de l'informatique consommée par la gestion des contrats de 35 % à 45 % (en réduisant l'acquisition de 10 points). Quel produit est le plus impacté ? Rédigez la réponse en 5 lignes.</w:t>
      </w:r>
    </w:p>
    <w:p>
      <w:pPr>
        <w:pStyle w:val="Heading2"/>
      </w:pPr>
      <w:r>
        <w:t xml:space="preserve">Module 4 – SAP PCM et outils de répartition</w:t>
      </w:r>
    </w:p>
    <w:p>
      <w:pPr>
        <w:spacing w:after="120"/>
      </w:pPr>
      <w:r>
        <w:rPr>
          <w:i/>
          <w:iCs/>
          <w:color w:val="595959"/>
        </w:rPr>
        <w:t xml:space="preserve">Semaines 7–8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Comprendre la logique de modélisation d'un outil de répartition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Piloter un cycle de calcul et ses contrôles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Préparer la transition vers un nouvel outil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SAP PCM</w:t>
      </w:r>
      <w:r>
        <w:t xml:space="preserve"> (Profitability and Cost Management) : outil de modélisation ABC. Un modèle se structure en périodes, versions, lignes de coût (ressources), activités, objets de coût, et </w:t>
      </w:r>
      <w:r>
        <w:rPr>
          <w:b/>
          <w:bCs/>
        </w:rPr>
        <w:t xml:space="preserve">assignations</w:t>
      </w:r>
      <w:r>
        <w:t xml:space="preserve"> portées par des inducteurs.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Successeurs / alternatives</w:t>
      </w:r>
      <w:r>
        <w:t xml:space="preserve"> : SAP Profitability and Performance Management (PaPM), Anaplan, Board, Tagetik… La logique métier (ressources → activités → objets) reste la même ; c'est elle qu'il faut maîtriser.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Bouclage</w:t>
      </w:r>
      <w:r>
        <w:t xml:space="preserve"> : le montant injecté dans l'outil doit être égal au montant de la comptabilité générale ; le montant réparti doit être égal au montant injecté.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Importer la balance (GL) et les volumes d'inducteurs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Contrôler les imports (totaux, centres non mappés)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Lancer le calcul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Contrôler les sorties : bouclage, variations de coûts unitaires &gt; seuil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Exporter vers la restitution et documenter les écarts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Centre de coût nouveau non rattaché à une activité : montant « orphelin 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Volumes d'inducteurs non mis à jour d'une période à l'autre</w:t>
      </w:r>
    </w:p>
    <w:p>
      <w:pPr>
        <w:pStyle w:val="Heading2"/>
      </w:pPr>
      <w:r>
        <w:t xml:space="preserve">Module 5 – Analyse des résultats et bridges</w:t>
      </w:r>
    </w:p>
    <w:p>
      <w:pPr>
        <w:spacing w:after="120"/>
      </w:pPr>
      <w:r>
        <w:rPr>
          <w:i/>
          <w:iCs/>
          <w:color w:val="595959"/>
        </w:rPr>
        <w:t xml:space="preserve">Semaines 9–10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Décomposer une variation en effets explicatifs qui bouclent exactement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Présenter un graphique en cascade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Rédiger un commentaire de gestion utile à la décision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Bridge</w:t>
      </w:r>
      <w:r>
        <w:t xml:space="preserve"> (pont / cascade) : explique le passage d'un montant A (N-1, budget) à un montant B (N, réel) par une succession d'effets.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Effet volume</w:t>
      </w:r>
      <w:r>
        <w:t xml:space="preserve"> = Δ quantité × prix (ou coût unitaire) de référence. </w:t>
      </w:r>
      <w:r>
        <w:rPr>
          <w:b/>
          <w:bCs/>
        </w:rPr>
        <w:t xml:space="preserve">Effet prix</w:t>
      </w:r>
      <w:r>
        <w:t xml:space="preserve"> = Δ prix × quantité réelle. Leur somme égale exactement la variation.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Autres effets courants : </w:t>
      </w:r>
      <w:r>
        <w:rPr>
          <w:b/>
          <w:bCs/>
        </w:rPr>
        <w:t xml:space="preserve">mix</w:t>
      </w:r>
      <w:r>
        <w:t xml:space="preserve">, </w:t>
      </w:r>
      <w:r>
        <w:rPr>
          <w:b/>
          <w:bCs/>
        </w:rPr>
        <w:t xml:space="preserve">périmètre</w:t>
      </w:r>
      <w:r>
        <w:t xml:space="preserve">, </w:t>
      </w:r>
      <w:r>
        <w:rPr>
          <w:b/>
          <w:bCs/>
        </w:rPr>
        <w:t xml:space="preserve">change</w:t>
      </w:r>
      <w:r>
        <w:t xml:space="preserve">, </w:t>
      </w:r>
      <w:r>
        <w:rPr>
          <w:b/>
          <w:bCs/>
        </w:rPr>
        <w:t xml:space="preserve">non récurrent</w:t>
      </w:r>
      <w:r>
        <w:t xml:space="preserve">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Définir le point de départ et le point d'arrivée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Choisir 4 à 7 effets maximum, du plus important au plus faible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Calculer chaque effet par formule (onglet « Exercice Bridge »)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Vérifier que la somme des effets = variation totale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Commenter : un message clé, puis un effet par phrase, puis les actions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Effet « divers » trop gros : il signale une analyse incomplète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Commentaire qui paraphrase les chiffres sans expliquer les causes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</w:pPr>
      <w:r>
        <w:rPr>
          <w:b/>
          <w:bCs/>
        </w:rPr>
        <w:t xml:space="preserve">Exercice : </w:t>
      </w:r>
      <w:r>
        <w:t xml:space="preserve">Rédigez le commentaire du bridge de l'onglet Excel en 5 phrases maximum. Exemple : « Les coûts progressent de 1 180 k€ (+8,8 %), portés par le renfort de 6 ETP (+408 k€) et la hausse des coûts informatiques (+350 k€) ; hors non récurrent, la hausse est limitée à +6,9 %. »</w:t>
      </w:r>
    </w:p>
    <w:p>
      <w:pPr>
        <w:pStyle w:val="Heading2"/>
      </w:pPr>
      <w:r>
        <w:t xml:space="preserve">Module 6 – Refacturations inter-entités</w:t>
      </w:r>
    </w:p>
    <w:p>
      <w:pPr>
        <w:spacing w:after="120"/>
      </w:pPr>
      <w:r>
        <w:rPr>
          <w:i/>
          <w:iCs/>
          <w:color w:val="595959"/>
        </w:rPr>
        <w:t xml:space="preserve">Semaine 11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Calculer une refacturation à partir de coûts complets, de clés et d'une marge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Sécuriser le processus jusqu'au rapprochement intragroupe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Convention de services</w:t>
      </w:r>
      <w:r>
        <w:t xml:space="preserve"> : contrat entre l'entité prestataire et les entités bénéficiaires ; elle fixe le périmètre, les clés et la marge.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Prix de transfert</w:t>
      </w:r>
      <w:r>
        <w:t xml:space="preserve"> : les Principes de l'OCDE (chapitre VII) prévoient une approche simplifiée pour les services à faible valeur ajoutée avec une marge de 5 %. Le taux retenu relève de la politique du groupe.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Rapprochement intragroupe</w:t>
      </w:r>
      <w:r>
        <w:t xml:space="preserve"> : la charge chez le bénéficiaire doit égaler le produit chez le prestataire.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Arrêter le coût complet de chaque service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Collecter les volumes de clés par entité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Calculer coût × (1 + marge) × quote-part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Émettre les factures et passer les écritures réciproques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Rapprocher et justifier les écarts à la clôture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Clés figées depuis plusieurs années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Absence de convention écrite (risque fiscal)</w:t>
      </w:r>
    </w:p>
    <w:p>
      <w:pPr>
        <w:pStyle w:val="Heading2"/>
      </w:pPr>
      <w:r>
        <w:t xml:space="preserve">Module 7 – IFRS 17 et frais attribuables</w:t>
      </w:r>
    </w:p>
    <w:p>
      <w:pPr>
        <w:spacing w:after="120"/>
      </w:pPr>
      <w:r>
        <w:rPr>
          <w:i/>
          <w:iCs/>
          <w:color w:val="595959"/>
        </w:rPr>
        <w:t xml:space="preserve">Semaines 12–13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Maîtriser le vocabulaire IFRS 17 utile au contrôleur de gestion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Qualifier les frais attribuables / non attribuables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Faire évoluer un modèle de répartition pour IFRS 17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Modèles d'évaluation</w:t>
      </w:r>
      <w:r>
        <w:t xml:space="preserve"> : BBA (modèle général), VFA (contrats participatifs directs, fréquent en épargne), PAA (approche simplifiée).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CSM</w:t>
      </w:r>
      <w:r>
        <w:t xml:space="preserve"> (marge sur services contractuels) : profit non encore acquis, reconnu au fil du service rendu.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Flux attribuables</w:t>
      </w:r>
      <w:r>
        <w:t xml:space="preserve"> (§B65) : les frais directement attribuables à l'exécution des contrats, y compris une allocation de frais généraux fixes et variables, entrent dans les flux de trésorerie d'exécution — donc dans le calcul de la CSM.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Non attribuables</w:t>
      </w:r>
      <w:r>
        <w:t xml:space="preserve"> (§B66) : les frais qui ne peuvent pas être directement attribués au portefeuille sont comptabilisés en charges lorsqu'ils sont engagés.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IACF</w:t>
      </w:r>
      <w:r>
        <w:t xml:space="preserve"> (frais d'acquisition, §28A–28F) : alloués aux groupes de contrats de façon systématique et rationnelle.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Ajouter un indicateur attribuable / non attribuable au niveau activité (ligne IFRS 17 de l'onglet ABC)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Descendre l'affectation à la maille portefeuille / groupe de contrats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Documenter chaque choix (piste d'audit pour les commissaires aux comptes)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Réconcilier les frais du modèle avec les hypothèses de frais des actuaires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Qualifier tous les frais de structure en non attribuables par facilité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Écart non expliqué entre frais réels et frais projetés par les actuaires</w:t>
      </w:r>
    </w:p>
    <w:p>
      <w:pPr>
        <w:pStyle w:val="Heading2"/>
      </w:pPr>
      <w:r>
        <w:t xml:space="preserve">Module 8 – Projet de déploiement d'un outil</w:t>
      </w:r>
    </w:p>
    <w:p>
      <w:pPr>
        <w:spacing w:after="120"/>
      </w:pPr>
      <w:r>
        <w:rPr>
          <w:i/>
          <w:iCs/>
          <w:color w:val="595959"/>
        </w:rPr>
        <w:t xml:space="preserve">Semaine 14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Contribuer efficacement au remplacement d'un outil (ex. SAP PCM)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Sécuriser la mise en production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Expression de besoins → spécifications</w:t>
      </w:r>
      <w:r>
        <w:t xml:space="preserve"> : décrire les règles de gestion (clés, activités, contrôles) de façon testable.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Recette</w:t>
      </w:r>
      <w:r>
        <w:t xml:space="preserve"> : cas de tests avec résultat attendu ; </w:t>
      </w:r>
      <w:r>
        <w:rPr>
          <w:b/>
          <w:bCs/>
        </w:rPr>
        <w:t xml:space="preserve">double run</w:t>
      </w:r>
      <w:r>
        <w:t xml:space="preserve"> : faire tourner ancien et nouvel outil en parallèle et expliquer chaque écart.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Conduite du changement</w:t>
      </w:r>
      <w:r>
        <w:t xml:space="preserve"> : modes opératoires, formation, plan de bascule.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Inventorier les règles du modèle actuel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Rédiger les cas de tests (ex. « un centre nouveau doit être signalé »)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Recetter, tracer les anomalies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Réaliser le double run sur au moins une clôture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Rédiger la documentation utilisateur et transférer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Reproduire à l'identique les défauts de l'ancien modèle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Recette sans résultats attendus chiffrés</w:t>
      </w:r>
    </w:p>
    <w:p>
      <w:pPr>
        <w:pStyle w:val="Heading2"/>
      </w:pPr>
      <w:r>
        <w:t xml:space="preserve">Module 9 – Études de coûts et restitution</w:t>
      </w:r>
    </w:p>
    <w:p>
      <w:pPr>
        <w:spacing w:after="120"/>
      </w:pPr>
      <w:r>
        <w:rPr>
          <w:i/>
          <w:iCs/>
          <w:color w:val="595959"/>
        </w:rPr>
        <w:t xml:space="preserve">Semaine 15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Mener une étude de coûts de bout en bout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Restituer clairement à la direction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Structure</w:t>
      </w:r>
      <w:r>
        <w:t xml:space="preserve"> : question posée → périmètre → méthode → résultats → recommandations.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Power BI</w:t>
      </w:r>
      <w:r>
        <w:t xml:space="preserve"> : modèle de données (faits / dimensions), mesures DAX simples (SUM, CALCULATE, DIVIDE), tableau de bord de coûts.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Storytelling</w:t>
      </w:r>
      <w:r>
        <w:t xml:space="preserve"> : un message par page, des graphiques simples, le chiffre clé en titre.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Reformuler la question avec le demandeur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Collecter et fiabiliser les données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Analyser (coûts unitaires, tendances, benchmarks internes)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Formuler 3 recommandations chiffrées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Restituer en 1 page de synthèse + annexes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Trop de chiffres, pas de message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Recommandations sans chiffrage ni responsable</w:t>
      </w:r>
    </w:p>
    <w:p>
      <w:pPr>
        <w:pStyle w:val="Heading2"/>
      </w:pPr>
      <w:r>
        <w:t xml:space="preserve">Projet de synthèse (semaine 16)</w:t>
      </w:r>
    </w:p>
    <w:p>
      <w:pPr>
        <w:spacing w:after="120"/>
      </w:pPr>
      <w:r>
        <w:t xml:space="preserve">Construisez, sur des données fictives ou anonymisées, un dossier complet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modèle de répartition ABC bouclé avec la comptabilité, incluant la qualification IFRS 17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bridge trimestriel commenté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note de restitution d'une page avec trois recommandations chiffrées.</w:t>
      </w:r>
    </w:p>
    <w:p>
      <w:pPr>
        <w:spacing w:after="120"/>
      </w:pPr>
      <w:r>
        <w:t xml:space="preserve">Puis refaites l'auto-évaluation : l'objectif est d'atteindre le niveau cible sur au moins 80 % des compétences.</w:t>
      </w:r>
    </w:p>
    <w:p>
      <w:r>
        <w:br w:type="page"/>
      </w:r>
    </w:p>
    <w:p>
      <w:pPr>
        <w:pStyle w:val="Heading1"/>
      </w:pPr>
      <w:r>
        <w:t xml:space="preserve">5. Préparer un entretien : questions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Éléments de réponse attendus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Quelle différence entre inducteur de ressources et inducteur d'activité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premier relie ressources et activités, le second activités et objets de coût ; exemples concrets.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 choisissez-vous un inducteur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Corrélation causale avec la consommation, disponibilité et fiabilité de la donnée, coût de collecte, compréhension par les opérationnels.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coûts augmentent de 9 % : comment l'expliquez-vous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Bridge : volume, coût unitaire, périmètre, non récurrent ; somme des effets = variation ; message clé.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Qu'est-ce qu'un frais attribuable sous IFRS 17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Frais directement attribuables à l'exécution des contrats (§B65), y compris une allocation de frais généraux ; impact sur la CSM ; non attribuables en charges (§B66).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 sécuriser une refacturation intragroupe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Convention, clés à jour, marge conforme à la politique prix de transfert, rapprochement réciproque à la clôture.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Quel a été votre rôle dans le déploiement d'un outil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Spécifications, recette, double run, explication des écarts, formation : résultat chiffré (délai de clôture, fiabilité).</w:t>
            </w:r>
          </w:p>
        </w:tc>
      </w:tr>
    </w:tbl>
    <w:p>
      <w:pPr>
        <w:pStyle w:val="Heading1"/>
      </w:pPr>
      <w:r>
        <w:t xml:space="preserve">6. 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Activity-Based Costing : calcul des coûts par les activités.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Bridge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Décomposition d'une variation en effets successifs (graphique en cascade).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BBA / VFA / PAA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Modèles d'évaluation IFRS 17 : général, honoraires variables, simplifié.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Contractual Service Margin : marge sur services contractuels (IFRS 17).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Double run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Exécution en parallèle de l'ancien et du nouvel outil pour comparer les résultats.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IACF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Insurance Acquisition Cash Flows : frais d'acquisition au sens IFRS 17.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Inducteur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Facteur qui explique la consommation d'une ressource ou d'une activité.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SAP PCM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SAP Profitability and Cost Management : outil de modélisation des coûts.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TDABC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Time-Driven ABC : ABC fondé sur des temps unitaires et la capacité pratique.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Unité d'œuvre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Unité de mesure de l'activité d'un centre d'analyse.</w:t>
            </w:r>
          </w:p>
        </w:tc>
      </w:tr>
    </w:tbl>
    <w:p>
      <w:pPr>
        <w:pStyle w:val="Heading1"/>
      </w:pPr>
      <w:r>
        <w:t xml:space="preserve">7. Ressources</w:t>
      </w:r>
    </w:p>
    <w:p>
      <w:pPr>
        <w:spacing w:after="120"/>
      </w:pPr>
      <w:r>
        <w:t xml:space="preserve">La liste complète (livres, cours, normes, sites) figure dans l'onglet « Ressources » du classeur Excel. Les incontournables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C. Alazard &amp; S. Sépari, </w:t>
      </w:r>
      <w:r>
        <w:rPr>
          <w:b/>
          <w:bCs/>
        </w:rPr>
        <w:t xml:space="preserve">DCG 11 – Contrôle de gestion</w:t>
      </w:r>
      <w:r>
        <w:t xml:space="preserve">, Dunod.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R. S. Kaplan &amp; S. R. Anderson, </w:t>
      </w:r>
      <w:r>
        <w:rPr>
          <w:b/>
          <w:bCs/>
        </w:rPr>
        <w:t xml:space="preserve">Time-Driven Activity-Based Costing</w:t>
      </w:r>
      <w:r>
        <w:t xml:space="preserve">, Harvard Business School Press.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IFRS Foundation, </w:t>
      </w:r>
      <w:r>
        <w:rPr>
          <w:b/>
          <w:bCs/>
        </w:rPr>
        <w:t xml:space="preserve">IFRS 17 Insurance Contracts</w:t>
      </w:r>
      <w:r>
        <w:t xml:space="preserve"> (ifrs.org), Annexe B §B65–B66.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OCDE, </w:t>
      </w:r>
      <w:r>
        <w:rPr>
          <w:b/>
          <w:bCs/>
        </w:rPr>
        <w:t xml:space="preserve">Principes applicables en matière de prix de transfert</w:t>
      </w:r>
      <w:r>
        <w:t xml:space="preserve">, chapitre VII.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Microsoft Learn, parcours </w:t>
      </w:r>
      <w:r>
        <w:rPr>
          <w:b/>
          <w:bCs/>
        </w:rPr>
        <w:t xml:space="preserve">Power BI Data Analyst (PL-300)</w:t>
      </w:r>
      <w:r>
        <w:t xml:space="preserve"> et Power Query.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SAP Learning, </w:t>
      </w:r>
      <w:r>
        <w:rPr>
          <w:b/>
          <w:bCs/>
        </w:rPr>
        <w:t xml:space="preserve">SAP Profitability and Performance Management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montée en compétences – Contrôle de gestion</dc:title>
  <dc:creator>Guide de compétences</dc:creator>
  <cp:lastModifiedBy>Un-named</cp:lastModifiedBy>
  <cp:revision>1</cp:revision>
  <dcterms:created xsi:type="dcterms:W3CDTF">2026-10-18T14:37:53.691Z</dcterms:created>
  <dcterms:modified xsi:type="dcterms:W3CDTF">2026-10-18T14:37:53.691Z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