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《赤壁赋》课件交付验收报告</w:t>
      </w:r>
    </w:p>
    <w:p>
      <w:pPr>
        <w:spacing w:after="240" w:before="0" w:line="30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高一语文 · 第一课时 · 共 25 页</w:t>
      </w:r>
    </w:p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赤壁赋（苏轼）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学段学科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高中语文 · 高一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教材版本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统编版（2019）高中语文必修上册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单元课次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第七单元 第 16 课 16.1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课时安排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 课时（45 分钟），文言文新授课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情感主线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乐 → 悲 → 喜（饮酒乐甚 / 苏子愀然 / 客喜而笑）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deck_id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chibifu-g1chn-20261019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交付状态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deliverable_ready / passed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2026-10-20</w:t>
            </w:r>
          </w:p>
        </w:tc>
      </w:tr>
    </w:tbl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二、交付清单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outputs/赤壁赋_可编辑版.pptx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主交付物。25 页对象级可编辑版，含内嵌视频与互动页入口（约 52 MB）。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outputs/赤壁赋_视觉版.pptx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整页视觉版。用于投影观感参考与图片素材复用，文字不可编辑（约 94 MB）。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outputs/teaching_design.docx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配套教学设计（9 页）：目标、重难点、七环节流程、板书、作业。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html_embeds/ai-html-01/ai-html-01.html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主客问答配对互动页，单文件 HTML，双击即可用浏览器打开。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outputs/_backups/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回滚备份目录：旧版无视频.pptx（媒体回填前）、微调前.pptx（字号调整前）。确认无误后可整体删除。</w:t>
            </w:r>
          </w:p>
        </w:tc>
      </w:tr>
    </w:tbl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三、课件结构与环节对应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页码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情境导入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1–3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知人论世与辨体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5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诵读感知，梳理脉络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8–10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精读一、二段（寻乐探悲）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12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11–15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精读第三段（客之三悲）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16–19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精读四、五段（苏子之答）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7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20–24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总结与迁移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25</w:t>
            </w:r>
          </w:p>
        </w:tc>
      </w:tr>
    </w:tbl>
    <w:p>
      <w:pPr>
        <w:spacing w:after="120" w:before="0" w:line="300" w:lineRule="auto"/>
      </w:pPr>
    </w:p>
    <w:p>
      <w:pPr>
        <w:spacing w:after="40" w:before="0" w:line="300" w:lineRule="auto"/>
      </w:pPr>
      <w:r>
        <w:rPr>
          <w:rFonts w:ascii="宋体" w:hAnsi="宋体" w:eastAsia="宋体"/>
          <w:b/>
          <w:color w:val="000000"/>
          <w:sz w:val="21"/>
        </w:rPr>
        <w:t>逐页标题：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color w:val="000000"/>
          <w:sz w:val="19"/>
        </w:rPr>
        <w:t>1. 封面；2. 壬戌之秋，七月既望（AI 视频页）；3. 一个“乐天派”，为何写满纸悲音；4. 学习目标；5. 乌台诗案与黄州十年；6. 什么是“赋”；7. 正音正字；8. 情感主线：乐、悲、喜；9. 五段分层；10. 从“乐”到“悲”的转折在哪；11. 寻乐：良辰、美景、乐事、赏心；12. “纵”字的心理实质；13. 悲从何来：箫声；14. 悲从何来：美人；15. 第二段小结：由乐入悲；16. 客之三悲（总览）；17. 历史之悲：英雄安在；18. 生命之悲与理想之悲；19. 景、事、理、情如何缝合；20. 变与不变；21. “无尽”不是不死；22. 取与不取；23. 客是谁：一场自我对话；24. 主客问答配对（HTML 互动页）；25. 景情理与迁移</w:t>
      </w:r>
    </w:p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四、课堂使用说明</w:t>
      </w:r>
    </w:p>
    <w:p>
      <w:pPr>
        <w:spacing w:after="80" w:before="120" w:line="300" w:lineRule="auto"/>
      </w:pPr>
      <w:r>
        <w:rPr>
          <w:rFonts w:ascii="宋体" w:hAnsi="宋体" w:eastAsia="宋体"/>
          <w:b/>
          <w:color w:val="000000"/>
          <w:sz w:val="24"/>
        </w:rPr>
        <w:t>4.1 放映前的三项准备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（1）保持文件完整。视频已内嵌在 PPTX 内部，不要只拷贝 PPTX 之外的零散文件。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（2）互动页要随课件一起带走。第 24 页的超链接指向 html_embeds/ai-html-01/ai-html-01.html，请把整个 html_embeds 文件夹与 PPTX 放在同一目录下；路径变了链接会失效。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（3）建议先在授课电脑上完整放映一次，确认第 2 页视频能播放、第 24 页能打开互动页。</w:t>
      </w:r>
    </w:p>
    <w:p>
      <w:pPr>
        <w:spacing w:after="80" w:before="120" w:line="300" w:lineRule="auto"/>
      </w:pPr>
      <w:r>
        <w:rPr>
          <w:rFonts w:ascii="宋体" w:hAnsi="宋体" w:eastAsia="宋体"/>
          <w:b/>
          <w:color w:val="000000"/>
          <w:sz w:val="24"/>
        </w:rPr>
        <w:t>4.2 第 2 页：情境视频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放映到第 2 页时单击画面即可播放（约 12 秒，秋夜江面 · 一叶小舟 · 明月薄雾，无字幕无水印）。播放后提问：“此刻你就在这条船上，心情会是什么？”——用一个词作答，引出第 3 页的主问题。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若放映环境不支持内嵌视频（如 WPS 旧版本、在线预览），第 2 页会停在静态海报画面，教师可直接口述导入，不影响教学流程。</w:t>
      </w:r>
    </w:p>
    <w:p>
      <w:pPr>
        <w:spacing w:after="80" w:before="120" w:line="300" w:lineRule="auto"/>
      </w:pPr>
      <w:r>
        <w:rPr>
          <w:rFonts w:ascii="宋体" w:hAnsi="宋体" w:eastAsia="宋体"/>
          <w:b/>
          <w:color w:val="000000"/>
          <w:sz w:val="24"/>
        </w:rPr>
        <w:t>4.3 第 24 页：主客问答配对互动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放映状态下单击页面底部文字“点击此处打开互动课件”，会用默认浏览器打开配对练习页。学生把“客之三悲”与对应的“苏子之答”拖到一块完成配对，约 4 分钟。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环境不支持时（如禁止跳转外链），本页六条框的静态内容本身就是备用材料，可直接让学生上台连线指认，互动环节不中断。</w:t>
      </w:r>
    </w:p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五、验收结果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对象级可编辑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共 323 个对象，其中 208 个可编辑文本框；正文非整页图片覆盖，可直接改字改色。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页数与大纲一致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25 页，与 outline.md 逐页设计一一对应。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内嵌视频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ai-video-01-1080p.mp4，960×540pt 满页，位于第 2 页最底层，带静态海报。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互动页入口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24 页外部超链接，静态备用内容保留。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排版走查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通过（无阻断）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问题页 5 处，均为设计内项：朱砂方印贴边裁切（p18/p21/p25，源图设计），封面竖排版本行 12.5pt（p01，源图测量还原）。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教学设计 DOCX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宋体 · 五号 · 纯黑，4 个表格 / 130 段落，Markdown 残留 0。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字体规范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全程普通清晰中文字体，无艺术字、书法体、毛笔体、手写体。</w:t>
            </w:r>
          </w:p>
        </w:tc>
      </w:tr>
    </w:tbl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六、需要教师确认的三件事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1. 本课件按1课时设计。若授课学校安排2课时，需在环节四至环节六之间增加课时段。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2. 学生文言基础较弱的班级，环节四的12分钟可能不足，建议把环节六的互动配对转为课后完成。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3. 教材原文未与纸质教材逐字比对，建议教师本人复核一次。</w:t>
      </w:r>
    </w:p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七、两点披露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（1）AI 视频分辨率偏低。第 2 页视频由 AI 生成，源片分辨率有限，全屏投影时可能有轻微模糊；已按满页尺寸内嵌，教学用途可接受，如需更高清可替换为实拍素材。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（2）教学设计基线来源。用户未提供原始教学设计，本课件基线由公开教研资料整合而成（来源审计见 working/source_audit.md）。教材原文未与纸质教材逐字比对，建议授课前复核一次。</w:t>
      </w:r>
    </w:p>
    <w:p>
      <w:pPr>
        <w:spacing w:after="80" w:before="200" w:line="300" w:lineRule="auto"/>
      </w:pPr>
      <w:r>
        <w:rPr>
          <w:rFonts w:ascii="宋体" w:hAnsi="宋体" w:eastAsia="宋体"/>
          <w:b/>
          <w:color w:val="000000"/>
          <w:sz w:val="28"/>
        </w:rPr>
        <w:t>八、回滚与再生成</w:t>
      </w:r>
    </w:p>
    <w:p>
      <w:pPr>
        <w:spacing w:after="40" w:before="0" w:line="300" w:lineRule="auto"/>
      </w:pPr>
      <w:r>
        <w:rPr>
          <w:rFonts w:ascii="宋体" w:hAnsi="宋体" w:eastAsia="宋体"/>
          <w:b/>
          <w:color w:val="000000"/>
          <w:sz w:val="21"/>
        </w:rPr>
        <w:t>需要回退时：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· 回退到无视频旧版：用 outputs/_backups/ 下的“旧版无视频.pptx”覆盖主文件。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· 只撤销字号微调：python working/polish_fonts.py --dry-run 查看差异，把 working/polish_fonts.py 中 TARGETS 的目标值改回 11.5 再执行。</w:t>
      </w:r>
    </w:p>
    <w:p>
      <w:pPr>
        <w:spacing w:after="40" w:before="0" w:line="300" w:lineRule="auto"/>
      </w:pPr>
      <w:r>
        <w:rPr>
          <w:rFonts w:ascii="宋体" w:hAnsi="宋体" w:eastAsia="宋体"/>
          <w:b/>
          <w:color w:val="000000"/>
          <w:sz w:val="21"/>
        </w:rPr>
        <w:t>需要重跑流水线时：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· 若重新执行了 editppt run finalize，必须紧接着重跑 python working/backfill_media.py，因为 finalize 不会保留内嵌视频与超链接。</w:t>
      </w:r>
    </w:p>
    <w:p>
      <w:pPr>
        <w:spacing w:after="120" w:before="0" w:line="300" w:lineRule="auto"/>
        <w:ind w:left="280"/>
      </w:pPr>
      <w:r>
        <w:rPr>
          <w:rFonts w:ascii="宋体" w:hAnsi="宋体" w:eastAsia="宋体"/>
          <w:b w:val="0"/>
          <w:color w:val="000000"/>
          <w:sz w:val="21"/>
        </w:rPr>
        <w:t>· 走查脚本：python working/proofread_deck.py outputs/赤壁赋_可编辑版.pptx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