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B7399" w14:textId="090FD620" w:rsidR="0052221E" w:rsidRPr="0052221E" w:rsidRDefault="005A36B7">
      <w:r w:rsidRPr="0052221E">
        <w:t xml:space="preserve">The extremely shallow location of the </w:t>
      </w:r>
      <w:proofErr w:type="spellStart"/>
      <w:r w:rsidRPr="0052221E">
        <w:t>seismogenic</w:t>
      </w:r>
      <w:proofErr w:type="spellEnd"/>
      <w:r w:rsidRPr="0052221E">
        <w:t xml:space="preserve"> megathrust in the western Solomons and the existence of significant island land area on the upper plate overlying the </w:t>
      </w:r>
      <w:proofErr w:type="spellStart"/>
      <w:r w:rsidRPr="0052221E">
        <w:t>seismogenic</w:t>
      </w:r>
      <w:proofErr w:type="spellEnd"/>
      <w:r w:rsidRPr="0052221E">
        <w:t xml:space="preserve"> zone enables us to use corals to obtain vertical motion history closer to the trench and lower plate than anywhere else in the world. In addition, coral </w:t>
      </w:r>
      <w:proofErr w:type="spellStart"/>
      <w:r w:rsidRPr="0052221E">
        <w:t>paleogeodesy</w:t>
      </w:r>
      <w:proofErr w:type="spellEnd"/>
      <w:r w:rsidRPr="0052221E">
        <w:t xml:space="preserve"> on Porites microatolls acting as long-term vertical positioning station may provide a relative sea level (RSL) change record spanning hundreds of years. Our goal is to develop a centennial record of sea level change and vertical tectonics from multiple Porites microatolls. By isolating the RSL record common to each microatolls, we can then derive a vertical tectonic record by removing the RSL variations from the raw time series recorded by the microatolls.  To achieve that goal, we present recent work combining coral </w:t>
      </w:r>
      <w:proofErr w:type="spellStart"/>
      <w:r w:rsidRPr="0052221E">
        <w:t>paleogedesy</w:t>
      </w:r>
      <w:proofErr w:type="spellEnd"/>
      <w:r w:rsidRPr="0052221E">
        <w:t>, annual δ13C record and modeling of coral morphology over the last 80 years in the western Solomons. The steps to obtain a long-term record of sea level change and vertical tectonics on samples of a ~</w:t>
      </w:r>
      <w:proofErr w:type="gramStart"/>
      <w:r w:rsidRPr="0052221E">
        <w:t>80 year old</w:t>
      </w:r>
      <w:proofErr w:type="gramEnd"/>
      <w:r w:rsidRPr="0052221E">
        <w:t xml:space="preserve"> Porites head collected in 2013 after the 2007 Mw 8.1 earthquake. We sampled the coral over 2 to 3 annual bands every ~2 months at various depths and times, performed a stable isotope analysis on each sample, cross-correlated each record and plotted the variation in δ13C versus water depth. Linear regressions show that the variation in accumulated δ13C as a function of water depth relative to the coral’s top water depth is 41 cm/‰ with a R</w:t>
      </w:r>
      <w:r w:rsidRPr="0052221E">
        <w:rPr>
          <w:vertAlign w:val="superscript"/>
        </w:rPr>
        <w:t>2</w:t>
      </w:r>
      <w:r w:rsidRPr="0052221E">
        <w:t xml:space="preserve"> coefficient of 0.98. We </w:t>
      </w:r>
      <w:proofErr w:type="gramStart"/>
      <w:r w:rsidRPr="0052221E">
        <w:t>the sampled</w:t>
      </w:r>
      <w:proofErr w:type="gramEnd"/>
      <w:r w:rsidRPr="0052221E">
        <w:t xml:space="preserve"> bimonthly stable isotopes along 80 annual bands. The span of each year is determined from correlating the annual banding and the seasonal cycles in δ13C and δ18O. Applying the linear relationship to the δ13C generates a raw record of relative sea level change. We then use the monthly tide gauge record in Honiara (Guadalcanal) to remove the effects of regional sea level change to the RSL time series obtain from the coral. The result is a record of the vertical tectonic motion of part of the Western Solomon before and after the Mw8.1 2007 earthquake. We analyze the results in terms of the yearly vertical record of the seismic cycle. Current geodetic records at subduction zones constrain at most deformation during one earthquake cycle while multiple earthquake cycles are needed to robustly constrain the physical state of a megathrust.  We hope to be able to extend the coral </w:t>
      </w:r>
      <w:proofErr w:type="spellStart"/>
      <w:r w:rsidRPr="0052221E">
        <w:t>paleogeodetic</w:t>
      </w:r>
      <w:proofErr w:type="spellEnd"/>
      <w:r w:rsidRPr="0052221E">
        <w:t xml:space="preserve"> record in the </w:t>
      </w:r>
      <w:proofErr w:type="spellStart"/>
      <w:r w:rsidRPr="0052221E">
        <w:t>Weatern</w:t>
      </w:r>
      <w:proofErr w:type="spellEnd"/>
      <w:r w:rsidRPr="0052221E">
        <w:t xml:space="preserve"> Solomons over several hundred years over multiple seismic cycles.  This would represent a critical data gap that hampers our understanding of subduction physics and our ability to forecast earthquakes.</w:t>
      </w:r>
    </w:p>
    <w:p w14:paraId="3F965138" w14:textId="77777777" w:rsidR="0052221E" w:rsidRPr="0052221E" w:rsidRDefault="0052221E">
      <w:r w:rsidRPr="0052221E">
        <w:br w:type="page"/>
      </w:r>
    </w:p>
    <w:p w14:paraId="51B35947" w14:textId="77777777" w:rsidR="0091790C" w:rsidRDefault="006919E0" w:rsidP="006919E0">
      <w:r>
        <w:lastRenderedPageBreak/>
        <w:t xml:space="preserve">The </w:t>
      </w:r>
      <w:r w:rsidR="0091790C">
        <w:t xml:space="preserve">earthquake cycle </w:t>
      </w:r>
      <w:r>
        <w:t>model</w:t>
      </w:r>
      <w:r w:rsidR="0091790C">
        <w:t xml:space="preserve"> is separated</w:t>
      </w:r>
      <w:r>
        <w:t xml:space="preserve"> into two distinct phases: decades to centuries of steady </w:t>
      </w:r>
      <w:proofErr w:type="spellStart"/>
      <w:r>
        <w:t>interseismic</w:t>
      </w:r>
      <w:proofErr w:type="spellEnd"/>
      <w:r>
        <w:t xml:space="preserve"> locking, followed by seconds of </w:t>
      </w:r>
      <w:proofErr w:type="spellStart"/>
      <w:r>
        <w:t>coseismic</w:t>
      </w:r>
      <w:proofErr w:type="spellEnd"/>
      <w:r>
        <w:t xml:space="preserve"> rupture However, high-resolution geodetic obser</w:t>
      </w:r>
      <w:r>
        <w:rPr>
          <w:rFonts w:ascii="Aptos" w:hAnsi="Aptos" w:cs="Aptos"/>
        </w:rPr>
        <w:t>v</w:t>
      </w:r>
      <w:r>
        <w:t>ations from recent megathrust events challenge this binary view. In order widen our knowledge about geodetic observations, N</w:t>
      </w:r>
      <w:r w:rsidR="0052221E" w:rsidRPr="0052221E">
        <w:t xml:space="preserve">ew Georgian </w:t>
      </w:r>
      <w:r w:rsidR="0052221E">
        <w:t>Group</w:t>
      </w:r>
      <w:r w:rsidR="0052221E" w:rsidRPr="0052221E">
        <w:t xml:space="preserve"> of Solomon Islands offer a unique tectonic set</w:t>
      </w:r>
      <w:r w:rsidR="0052221E" w:rsidRPr="0052221E">
        <w:rPr>
          <w:rFonts w:ascii="Aptos" w:hAnsi="Aptos" w:cs="Aptos"/>
        </w:rPr>
        <w:t>t</w:t>
      </w:r>
      <w:r w:rsidR="0052221E" w:rsidRPr="0052221E">
        <w:t xml:space="preserve">ing where the Woodlark Basin subducts beneath the </w:t>
      </w:r>
      <w:r w:rsidR="0052221E">
        <w:t xml:space="preserve">Solomon Arc (Plate?) and the islands are positioned less than 30 km to the trench as well as the </w:t>
      </w:r>
      <w:r w:rsidR="0053764B">
        <w:t>2007 M8.1</w:t>
      </w:r>
      <w:r w:rsidR="0052221E">
        <w:t xml:space="preserve"> earthquake epicenter was </w:t>
      </w:r>
      <w:r w:rsidR="0053764B">
        <w:t xml:space="preserve">10 km to the coast. This great proximity enables us to use Corals (Porites) in the region to quantify the past vertical motions induced by the tectonic forces. Corals are </w:t>
      </w:r>
      <w:r w:rsidR="00FB44DD">
        <w:t>key</w:t>
      </w:r>
      <w:r w:rsidR="0053764B">
        <w:t xml:space="preserve"> organisms </w:t>
      </w:r>
      <w:r w:rsidR="00FB44DD">
        <w:t>recording</w:t>
      </w:r>
      <w:r w:rsidR="0053764B">
        <w:t xml:space="preserve"> their environment</w:t>
      </w:r>
      <w:r w:rsidR="00FB44DD">
        <w:t>al changes in their skeleton</w:t>
      </w:r>
      <w:r w:rsidR="0053764B">
        <w:t xml:space="preserve"> along their life course which aligns with tectonic time scales. </w:t>
      </w:r>
      <w:r w:rsidR="0091790C">
        <w:t xml:space="preserve">Vertical motion of the corals </w:t>
      </w:r>
      <w:proofErr w:type="gramStart"/>
      <w:r w:rsidR="0091790C">
        <w:t>are</w:t>
      </w:r>
      <w:proofErr w:type="gramEnd"/>
      <w:r>
        <w:t xml:space="preserve"> mirrored </w:t>
      </w:r>
      <w:r w:rsidR="00FB44DD">
        <w:t>in the</w:t>
      </w:r>
      <w:r>
        <w:t xml:space="preserve"> m</w:t>
      </w:r>
      <w:r w:rsidR="0053764B">
        <w:t>orphology of the corals</w:t>
      </w:r>
      <w:r>
        <w:t xml:space="preserve"> and </w:t>
      </w:r>
      <w:r w:rsidR="0082449D">
        <w:t>this method is</w:t>
      </w:r>
      <w:r w:rsidR="0053764B">
        <w:t xml:space="preserve"> used to determine the </w:t>
      </w:r>
      <w:proofErr w:type="spellStart"/>
      <w:r w:rsidR="0091790C">
        <w:t>co</w:t>
      </w:r>
      <w:r w:rsidR="0053764B">
        <w:t>seismic</w:t>
      </w:r>
      <w:proofErr w:type="spellEnd"/>
      <w:r w:rsidR="0091790C">
        <w:t xml:space="preserve"> events</w:t>
      </w:r>
      <w:r w:rsidR="0053764B">
        <w:t xml:space="preserve"> in the region and in the Sunda Arc</w:t>
      </w:r>
      <w:r w:rsidR="0082449D">
        <w:t xml:space="preserve"> for decades now</w:t>
      </w:r>
      <w:r w:rsidR="0053764B">
        <w:t xml:space="preserve">. </w:t>
      </w:r>
      <w:r>
        <w:t>W</w:t>
      </w:r>
      <w:r w:rsidR="0053764B">
        <w:t xml:space="preserve">e propose </w:t>
      </w:r>
      <w:r w:rsidR="0053764B" w:rsidRPr="0091790C">
        <w:rPr>
          <w:b/>
          <w:bCs/>
        </w:rPr>
        <w:t>a new method</w:t>
      </w:r>
      <w:r w:rsidR="0053764B">
        <w:t xml:space="preserve"> based on the stable isotope analysis</w:t>
      </w:r>
      <w:r>
        <w:t xml:space="preserve"> of </w:t>
      </w:r>
      <w:r w:rsidRPr="0052221E">
        <w:t>δ13C</w:t>
      </w:r>
      <w:r>
        <w:t xml:space="preserve"> and </w:t>
      </w:r>
      <w:r w:rsidRPr="0052221E">
        <w:t>δ</w:t>
      </w:r>
      <w:r>
        <w:t>18O</w:t>
      </w:r>
      <w:r w:rsidR="0053764B">
        <w:t xml:space="preserve"> collected from the coral</w:t>
      </w:r>
      <w:r>
        <w:t>s</w:t>
      </w:r>
      <w:r w:rsidR="0053764B">
        <w:t xml:space="preserve"> </w:t>
      </w:r>
      <w:r>
        <w:t xml:space="preserve">to determine the relative </w:t>
      </w:r>
      <w:r w:rsidR="0091790C">
        <w:t>sea level change</w:t>
      </w:r>
      <w:r>
        <w:t xml:space="preserve"> </w:t>
      </w:r>
      <w:r w:rsidR="0091790C">
        <w:t>with</w:t>
      </w:r>
      <w:r>
        <w:t xml:space="preserve"> an annual resolution. </w:t>
      </w:r>
    </w:p>
    <w:p w14:paraId="0BEBD91F" w14:textId="54D38572" w:rsidR="0082449D" w:rsidRDefault="006919E0" w:rsidP="006919E0">
      <w:r>
        <w:t xml:space="preserve">First part of the work </w:t>
      </w:r>
      <w:r w:rsidR="0082449D">
        <w:t xml:space="preserve">focuses on the robustness of the water depth and </w:t>
      </w:r>
      <w:r w:rsidR="0082449D" w:rsidRPr="0052221E">
        <w:t>δ13C</w:t>
      </w:r>
      <w:r w:rsidR="0082449D">
        <w:t xml:space="preserve"> relationship, as well as age modeling based on </w:t>
      </w:r>
      <w:r w:rsidR="0082449D" w:rsidRPr="0052221E">
        <w:t>δ1</w:t>
      </w:r>
      <w:r w:rsidR="0082449D">
        <w:t xml:space="preserve">8O and X-ray radiography. </w:t>
      </w:r>
    </w:p>
    <w:p w14:paraId="5AACE7EE" w14:textId="4048C32C" w:rsidR="0082449D" w:rsidRDefault="0082449D" w:rsidP="006919E0">
      <w:r>
        <w:t>For the depth</w:t>
      </w:r>
      <w:r w:rsidR="00BF1D42">
        <w:t>-</w:t>
      </w:r>
      <w:r w:rsidR="00BF1D42" w:rsidRPr="0052221E">
        <w:t>δ13C</w:t>
      </w:r>
      <w:r>
        <w:t xml:space="preserve"> relationship</w:t>
      </w:r>
      <w:r w:rsidR="009C706F">
        <w:t>,</w:t>
      </w:r>
      <w:r>
        <w:t xml:space="preserve"> </w:t>
      </w:r>
      <w:r w:rsidR="009C706F" w:rsidRPr="009C706F">
        <w:t>141 new</w:t>
      </w:r>
      <w:r w:rsidR="00BF1D42">
        <w:t xml:space="preserve"> samples are collected from different depths </w:t>
      </w:r>
      <w:r w:rsidR="00061211">
        <w:t>around</w:t>
      </w:r>
      <w:r w:rsidR="00BF1D42">
        <w:t xml:space="preserve"> the same </w:t>
      </w:r>
      <w:r w:rsidR="00CB3CBD">
        <w:t>time span</w:t>
      </w:r>
      <w:r w:rsidR="00BF1D42">
        <w:t xml:space="preserve">. </w:t>
      </w:r>
      <w:r w:rsidR="009C706F">
        <w:t>For the same ages the samples show a</w:t>
      </w:r>
      <w:r w:rsidR="00061211">
        <w:t xml:space="preserve"> strong linear relationship</w:t>
      </w:r>
      <w:r w:rsidR="00E757D2">
        <w:t xml:space="preserve"> </w:t>
      </w:r>
      <w:r w:rsidR="00061211">
        <w:t>(</w:t>
      </w:r>
      <w:r w:rsidR="00E757D2">
        <w:t>R</w:t>
      </w:r>
      <w:r w:rsidR="00061211">
        <w:rPr>
          <w:vertAlign w:val="superscript"/>
        </w:rPr>
        <w:t>2</w:t>
      </w:r>
      <w:r w:rsidR="00061211">
        <w:t>=</w:t>
      </w:r>
      <w:r w:rsidR="00E757D2">
        <w:t>0.982</w:t>
      </w:r>
      <w:r w:rsidR="00061211">
        <w:t>), depths between 170 and 110 cm below sea surface.</w:t>
      </w:r>
      <w:r w:rsidR="009C706F">
        <w:t xml:space="preserve"> </w:t>
      </w:r>
      <w:r w:rsidR="00061211">
        <w:t xml:space="preserve">However, the linear relationship is disturbed once the samples reach shallower conditions. </w:t>
      </w:r>
    </w:p>
    <w:p w14:paraId="535A3938" w14:textId="261B02B1" w:rsidR="00B46FA3" w:rsidRDefault="0091790C" w:rsidP="006919E0">
      <w:r w:rsidRPr="00061211">
        <w:t>In the s</w:t>
      </w:r>
      <w:r w:rsidR="0082449D" w:rsidRPr="00061211">
        <w:t xml:space="preserve">econd </w:t>
      </w:r>
      <w:r w:rsidRPr="00061211">
        <w:t xml:space="preserve">step we </w:t>
      </w:r>
      <w:r w:rsidR="0082449D" w:rsidRPr="00061211">
        <w:t>validat</w:t>
      </w:r>
      <w:r w:rsidRPr="00061211">
        <w:t xml:space="preserve">e </w:t>
      </w:r>
      <w:r w:rsidR="0082449D" w:rsidRPr="00061211">
        <w:t xml:space="preserve">the stable isotope time series with external data sets </w:t>
      </w:r>
      <w:r w:rsidRPr="00061211">
        <w:t>including</w:t>
      </w:r>
      <w:r w:rsidR="0082449D" w:rsidRPr="00061211">
        <w:t xml:space="preserve"> tide gauges and earthquake catalogues </w:t>
      </w:r>
      <w:r w:rsidRPr="00061211">
        <w:t>in</w:t>
      </w:r>
      <w:r w:rsidR="0082449D" w:rsidRPr="00061211">
        <w:t xml:space="preserve"> the region. </w:t>
      </w:r>
      <w:r w:rsidR="00061211">
        <w:t>The time series data set spans from 1928 to 2012 and involves 692 samples.</w:t>
      </w:r>
      <w:r w:rsidR="00B46FA3">
        <w:t xml:space="preserve"> We </w:t>
      </w:r>
      <w:proofErr w:type="gramStart"/>
      <w:r w:rsidR="00B46FA3">
        <w:t>are able to</w:t>
      </w:r>
      <w:proofErr w:type="gramEnd"/>
      <w:r w:rsidR="00B46FA3">
        <w:t xml:space="preserve"> point out </w:t>
      </w:r>
      <w:r w:rsidR="00B46FA3">
        <w:t xml:space="preserve">two </w:t>
      </w:r>
      <w:r w:rsidR="00B46FA3">
        <w:t>major</w:t>
      </w:r>
      <w:r w:rsidR="00B46FA3">
        <w:t xml:space="preserve"> earthquakes in 1936 and 2007</w:t>
      </w:r>
      <w:r w:rsidR="00B46FA3">
        <w:t xml:space="preserve"> based on the </w:t>
      </w:r>
      <w:r w:rsidR="00B46FA3" w:rsidRPr="0052221E">
        <w:t>δ13C</w:t>
      </w:r>
      <w:r w:rsidR="00B46FA3">
        <w:t xml:space="preserve"> and </w:t>
      </w:r>
      <w:r w:rsidR="00B46FA3" w:rsidRPr="0052221E">
        <w:t>δ1</w:t>
      </w:r>
      <w:r w:rsidR="00B46FA3">
        <w:t>8O</w:t>
      </w:r>
      <w:r w:rsidR="00B46FA3">
        <w:t xml:space="preserve"> time series. </w:t>
      </w:r>
      <w:proofErr w:type="gramStart"/>
      <w:r w:rsidR="00B46FA3">
        <w:t>Additionally</w:t>
      </w:r>
      <w:proofErr w:type="gramEnd"/>
      <w:r w:rsidR="00B46FA3">
        <w:t xml:space="preserve"> we observe the </w:t>
      </w:r>
      <w:r w:rsidR="00B46FA3">
        <w:t xml:space="preserve">annual climate cycles, ENSO events and potential SSE as well as </w:t>
      </w:r>
      <w:proofErr w:type="spellStart"/>
      <w:r w:rsidR="00B46FA3">
        <w:t>interseismic</w:t>
      </w:r>
      <w:proofErr w:type="spellEnd"/>
      <w:r w:rsidR="00B46FA3">
        <w:t xml:space="preserve"> locking prior to both seismic and aseismic events.</w:t>
      </w:r>
      <w:r w:rsidR="00B46FA3">
        <w:t xml:space="preserve"> </w:t>
      </w:r>
      <w:r w:rsidR="00BF1D42">
        <w:t xml:space="preserve">1936 event is well covered by the </w:t>
      </w:r>
      <w:r w:rsidR="00BF1D42" w:rsidRPr="00BF1D42">
        <w:t>δ1</w:t>
      </w:r>
      <w:r w:rsidR="00BF1D42">
        <w:t>8O,</w:t>
      </w:r>
      <w:r w:rsidR="00D91F2A" w:rsidRPr="00D91F2A">
        <w:t xml:space="preserve"> </w:t>
      </w:r>
      <w:r w:rsidR="00D91F2A">
        <w:t xml:space="preserve">there is a significant drop after the event however both the periodicity and the </w:t>
      </w:r>
      <w:proofErr w:type="gramStart"/>
      <w:r w:rsidR="00D91F2A">
        <w:t>long term</w:t>
      </w:r>
      <w:proofErr w:type="gramEnd"/>
      <w:r w:rsidR="00D91F2A">
        <w:t xml:space="preserve"> trend stays unchanged. The post-seismic relaxation of 1936 event is captured by two </w:t>
      </w:r>
      <w:r w:rsidR="00B46FA3">
        <w:t xml:space="preserve">independent </w:t>
      </w:r>
      <w:r w:rsidR="00D91F2A">
        <w:t>drilling paths (end of N &amp; start of M).</w:t>
      </w:r>
      <w:r w:rsidR="00B46FA3">
        <w:t xml:space="preserve"> M8.1 </w:t>
      </w:r>
      <w:r>
        <w:t>2007 event</w:t>
      </w:r>
      <w:r w:rsidR="00B46FA3">
        <w:t xml:space="preserve"> is</w:t>
      </w:r>
      <w:r>
        <w:t xml:space="preserve"> both in morphology and </w:t>
      </w:r>
      <w:r w:rsidR="00B46FA3" w:rsidRPr="0052221E">
        <w:t>δ13C</w:t>
      </w:r>
      <w:r w:rsidR="00B46FA3">
        <w:t xml:space="preserve"> </w:t>
      </w:r>
      <w:r w:rsidR="00B46FA3">
        <w:t>levels recognizable</w:t>
      </w:r>
      <w:r>
        <w:t>.</w:t>
      </w:r>
      <w:r w:rsidR="00B46FA3">
        <w:t xml:space="preserve"> </w:t>
      </w:r>
      <w:proofErr w:type="gramStart"/>
      <w:r w:rsidR="0082449D">
        <w:t>Finally</w:t>
      </w:r>
      <w:proofErr w:type="gramEnd"/>
      <w:r w:rsidR="0082449D">
        <w:t xml:space="preserve"> we interpret the decadal uplift and subsidence periods as complex </w:t>
      </w:r>
      <w:proofErr w:type="spellStart"/>
      <w:r w:rsidR="0082449D">
        <w:t>interseismic</w:t>
      </w:r>
      <w:proofErr w:type="spellEnd"/>
      <w:r w:rsidR="0082449D">
        <w:t xml:space="preserve"> patterns which reflects stress loading </w:t>
      </w:r>
      <w:r w:rsidR="00BF1D42">
        <w:t>periods and</w:t>
      </w:r>
      <w:r w:rsidR="0082449D">
        <w:t xml:space="preserve"> </w:t>
      </w:r>
      <w:proofErr w:type="gramStart"/>
      <w:r w:rsidR="0082449D">
        <w:t>long term</w:t>
      </w:r>
      <w:proofErr w:type="gramEnd"/>
      <w:r w:rsidR="0082449D">
        <w:t xml:space="preserve"> slow slip events.  </w:t>
      </w:r>
    </w:p>
    <w:p w14:paraId="75430814" w14:textId="77777777" w:rsidR="00B46FA3" w:rsidRDefault="00B46FA3">
      <w:r>
        <w:br w:type="page"/>
      </w:r>
    </w:p>
    <w:p w14:paraId="3031D077" w14:textId="77777777" w:rsidR="00B46FA3" w:rsidRDefault="00B46FA3" w:rsidP="00B46FA3">
      <w:pPr>
        <w:rPr>
          <w:b/>
          <w:bCs/>
        </w:rPr>
      </w:pPr>
      <w:r w:rsidRPr="00B46FA3">
        <w:rPr>
          <w:b/>
          <w:bCs/>
        </w:rPr>
        <w:lastRenderedPageBreak/>
        <w:t>High-resolution Coral Geodesy in the Solomon Islands</w:t>
      </w:r>
    </w:p>
    <w:p w14:paraId="50BADF3F" w14:textId="39FCBED5" w:rsidR="00B46FA3" w:rsidRPr="00B46FA3" w:rsidRDefault="00B46FA3" w:rsidP="00B46FA3">
      <w:pPr>
        <w:rPr>
          <w:i/>
          <w:iCs/>
        </w:rPr>
      </w:pPr>
      <w:r w:rsidRPr="00B46FA3">
        <w:rPr>
          <w:i/>
          <w:iCs/>
        </w:rPr>
        <w:t>Decadal Deformation and Slow Slip via Stable Isotope Analysis</w:t>
      </w:r>
    </w:p>
    <w:p w14:paraId="5033C9A3" w14:textId="77777777" w:rsidR="00F40958" w:rsidRDefault="00B46FA3" w:rsidP="00F40958">
      <w:r>
        <w:br/>
      </w:r>
      <w:r w:rsidR="00F40958">
        <w:t xml:space="preserve">The classical earthquake cycle is commonly described as alternating between long periods (decades to centuries) of </w:t>
      </w:r>
      <w:proofErr w:type="spellStart"/>
      <w:r w:rsidR="00F40958">
        <w:t>interseismic</w:t>
      </w:r>
      <w:proofErr w:type="spellEnd"/>
      <w:r w:rsidR="00F40958">
        <w:t xml:space="preserve"> locking and brief episodes (seconds) of </w:t>
      </w:r>
      <w:proofErr w:type="spellStart"/>
      <w:r w:rsidR="00F40958">
        <w:t>coseismic</w:t>
      </w:r>
      <w:proofErr w:type="spellEnd"/>
      <w:r w:rsidR="00F40958">
        <w:t xml:space="preserve"> rupture. However, increasingly dense geodetic observations from recent megathrust earthquakes reveal a more complex spectrum of transient deformation processes that challenge this binary framework. The New Georgia Group in the Solomon Islands provides a unique natural laboratory to investigate these processes, where the Woodlark Basin subducts beneath the Solomon Arc and has generated large megathrust earthquakes, including the 1936 Mw 7.9 and 2007 Mw 8.1 events. </w:t>
      </w:r>
    </w:p>
    <w:p w14:paraId="6DCB41C9" w14:textId="77777777" w:rsidR="00F40958" w:rsidRDefault="00F40958" w:rsidP="00F40958">
      <w:r>
        <w:t xml:space="preserve">The </w:t>
      </w:r>
      <w:proofErr w:type="gramStart"/>
      <w:r>
        <w:t>close proximity</w:t>
      </w:r>
      <w:proofErr w:type="gramEnd"/>
      <w:r>
        <w:t xml:space="preserve"> of the islands to the trench allows Porites corals to serve as high-resolution recorders of vertical ground motion. While coral morphology has long been used to identify </w:t>
      </w:r>
      <w:proofErr w:type="spellStart"/>
      <w:r>
        <w:t>coseismic</w:t>
      </w:r>
      <w:proofErr w:type="spellEnd"/>
      <w:r>
        <w:t xml:space="preserve"> uplift, we introduce a novel approach that combines coral morphology with stable isotope analysis (δ¹³C and δ¹⁸O) to quantify relative sea-level (RSL) variations at annual resolution. We first assess the robustness of the relationship between coral water depth and δ¹³C using 141 new samples collected across a range of depths formed within the same time interval. For depths between 170 and 110 cm below sea level, δ¹³C exhibits a strong linear correlation with water depth (R² = 0.982), while shallower samples display a non-linear response. </w:t>
      </w:r>
    </w:p>
    <w:p w14:paraId="29A7B87A" w14:textId="77777777" w:rsidR="00F40958" w:rsidRDefault="00F40958" w:rsidP="00F40958">
      <w:r>
        <w:t xml:space="preserve">We then apply this RSL proxy to a 692-sample coral time series spanning 1928–2012 and validate the reconstructed RSL against available tide-gauge records. The 2007 Mw 8.1 earthquake is clearly resolved, with coral morphology recording ~70 cm of </w:t>
      </w:r>
      <w:proofErr w:type="spellStart"/>
      <w:r>
        <w:t>coseismic</w:t>
      </w:r>
      <w:proofErr w:type="spellEnd"/>
      <w:r>
        <w:t xml:space="preserve"> uplift expressed as a pronounced die-down surface, accompanied by a δ¹³C excursion exceeding 2‰. The 1936 Mw 7.9 event is similarly captured by a distinct δ¹⁸O anomaly, with </w:t>
      </w:r>
      <w:proofErr w:type="spellStart"/>
      <w:r>
        <w:t>postseismic</w:t>
      </w:r>
      <w:proofErr w:type="spellEnd"/>
      <w:r>
        <w:t xml:space="preserve"> relaxation observed consistently along two independent drilling transects. </w:t>
      </w:r>
    </w:p>
    <w:p w14:paraId="3C042229" w14:textId="225CEEEC" w:rsidR="00B410E2" w:rsidRPr="0052221E" w:rsidRDefault="00F40958" w:rsidP="00F40958">
      <w:r>
        <w:t xml:space="preserve">Beyond discrete </w:t>
      </w:r>
      <w:proofErr w:type="spellStart"/>
      <w:r>
        <w:t>coseismic</w:t>
      </w:r>
      <w:proofErr w:type="spellEnd"/>
      <w:r>
        <w:t xml:space="preserve"> signals, the record reveals multi-year to decadal periods of uplift and subsidence that we interpret as complex </w:t>
      </w:r>
      <w:proofErr w:type="spellStart"/>
      <w:r>
        <w:t>interseismic</w:t>
      </w:r>
      <w:proofErr w:type="spellEnd"/>
      <w:r>
        <w:t xml:space="preserve"> deformation. </w:t>
      </w:r>
      <w:proofErr w:type="gramStart"/>
      <w:r>
        <w:t>In particular, we</w:t>
      </w:r>
      <w:proofErr w:type="gramEnd"/>
      <w:r>
        <w:t xml:space="preserve"> identify intervals consistent with slow slip activity during 1955–1964, 1977–1986, and 1999–2002. These results demonstrate that stable isotope measurements in corals provide a powerful bridge between instrumental geodesy and </w:t>
      </w:r>
      <w:proofErr w:type="spellStart"/>
      <w:r>
        <w:t>paleoseismology</w:t>
      </w:r>
      <w:proofErr w:type="spellEnd"/>
      <w:r>
        <w:t>, enabling a continuous, high-resolution view of subduction-zone deformation and stress evolution across the full earthquake cycle.</w:t>
      </w:r>
    </w:p>
    <w:sectPr w:rsidR="00B410E2" w:rsidRPr="005222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AB335" w14:textId="77777777" w:rsidR="00F15254" w:rsidRDefault="00F15254" w:rsidP="0052221E">
      <w:pPr>
        <w:spacing w:after="0" w:line="240" w:lineRule="auto"/>
      </w:pPr>
      <w:r>
        <w:separator/>
      </w:r>
    </w:p>
  </w:endnote>
  <w:endnote w:type="continuationSeparator" w:id="0">
    <w:p w14:paraId="6C656C18" w14:textId="77777777" w:rsidR="00F15254" w:rsidRDefault="00F15254" w:rsidP="00522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4A319" w14:textId="77777777" w:rsidR="00F15254" w:rsidRDefault="00F15254" w:rsidP="0052221E">
      <w:pPr>
        <w:spacing w:after="0" w:line="240" w:lineRule="auto"/>
      </w:pPr>
      <w:r>
        <w:separator/>
      </w:r>
    </w:p>
  </w:footnote>
  <w:footnote w:type="continuationSeparator" w:id="0">
    <w:p w14:paraId="2152DA89" w14:textId="77777777" w:rsidR="00F15254" w:rsidRDefault="00F15254" w:rsidP="0052221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6B7"/>
    <w:rsid w:val="00061211"/>
    <w:rsid w:val="000D2AF6"/>
    <w:rsid w:val="001E2563"/>
    <w:rsid w:val="00287DC1"/>
    <w:rsid w:val="002C737F"/>
    <w:rsid w:val="00323BC8"/>
    <w:rsid w:val="0052221E"/>
    <w:rsid w:val="0053764B"/>
    <w:rsid w:val="005A36B7"/>
    <w:rsid w:val="006919E0"/>
    <w:rsid w:val="0082449D"/>
    <w:rsid w:val="008E50E2"/>
    <w:rsid w:val="0091790C"/>
    <w:rsid w:val="009C706F"/>
    <w:rsid w:val="00A25C75"/>
    <w:rsid w:val="00AC292A"/>
    <w:rsid w:val="00B410E2"/>
    <w:rsid w:val="00B46FA3"/>
    <w:rsid w:val="00BF1D42"/>
    <w:rsid w:val="00CB3CBD"/>
    <w:rsid w:val="00D91F2A"/>
    <w:rsid w:val="00E757D2"/>
    <w:rsid w:val="00F15254"/>
    <w:rsid w:val="00F40958"/>
    <w:rsid w:val="00F653EF"/>
    <w:rsid w:val="00FB4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1F23B"/>
  <w15:chartTrackingRefBased/>
  <w15:docId w15:val="{DF405615-2F11-4CC9-944D-56FCB4AE0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6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6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36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6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6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6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6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6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6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6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6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36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6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6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6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6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6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6B7"/>
    <w:rPr>
      <w:rFonts w:eastAsiaTheme="majorEastAsia" w:cstheme="majorBidi"/>
      <w:color w:val="272727" w:themeColor="text1" w:themeTint="D8"/>
    </w:rPr>
  </w:style>
  <w:style w:type="paragraph" w:styleId="Title">
    <w:name w:val="Title"/>
    <w:basedOn w:val="Normal"/>
    <w:next w:val="Normal"/>
    <w:link w:val="TitleChar"/>
    <w:uiPriority w:val="10"/>
    <w:qFormat/>
    <w:rsid w:val="005A3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6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6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6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6B7"/>
    <w:pPr>
      <w:spacing w:before="160"/>
      <w:jc w:val="center"/>
    </w:pPr>
    <w:rPr>
      <w:i/>
      <w:iCs/>
      <w:color w:val="404040" w:themeColor="text1" w:themeTint="BF"/>
    </w:rPr>
  </w:style>
  <w:style w:type="character" w:customStyle="1" w:styleId="QuoteChar">
    <w:name w:val="Quote Char"/>
    <w:basedOn w:val="DefaultParagraphFont"/>
    <w:link w:val="Quote"/>
    <w:uiPriority w:val="29"/>
    <w:rsid w:val="005A36B7"/>
    <w:rPr>
      <w:i/>
      <w:iCs/>
      <w:color w:val="404040" w:themeColor="text1" w:themeTint="BF"/>
    </w:rPr>
  </w:style>
  <w:style w:type="paragraph" w:styleId="ListParagraph">
    <w:name w:val="List Paragraph"/>
    <w:basedOn w:val="Normal"/>
    <w:uiPriority w:val="34"/>
    <w:qFormat/>
    <w:rsid w:val="005A36B7"/>
    <w:pPr>
      <w:ind w:left="720"/>
      <w:contextualSpacing/>
    </w:pPr>
  </w:style>
  <w:style w:type="character" w:styleId="IntenseEmphasis">
    <w:name w:val="Intense Emphasis"/>
    <w:basedOn w:val="DefaultParagraphFont"/>
    <w:uiPriority w:val="21"/>
    <w:qFormat/>
    <w:rsid w:val="005A36B7"/>
    <w:rPr>
      <w:i/>
      <w:iCs/>
      <w:color w:val="0F4761" w:themeColor="accent1" w:themeShade="BF"/>
    </w:rPr>
  </w:style>
  <w:style w:type="paragraph" w:styleId="IntenseQuote">
    <w:name w:val="Intense Quote"/>
    <w:basedOn w:val="Normal"/>
    <w:next w:val="Normal"/>
    <w:link w:val="IntenseQuoteChar"/>
    <w:uiPriority w:val="30"/>
    <w:qFormat/>
    <w:rsid w:val="005A36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6B7"/>
    <w:rPr>
      <w:i/>
      <w:iCs/>
      <w:color w:val="0F4761" w:themeColor="accent1" w:themeShade="BF"/>
    </w:rPr>
  </w:style>
  <w:style w:type="character" w:styleId="IntenseReference">
    <w:name w:val="Intense Reference"/>
    <w:basedOn w:val="DefaultParagraphFont"/>
    <w:uiPriority w:val="32"/>
    <w:qFormat/>
    <w:rsid w:val="005A36B7"/>
    <w:rPr>
      <w:b/>
      <w:bCs/>
      <w:smallCaps/>
      <w:color w:val="0F4761" w:themeColor="accent1" w:themeShade="BF"/>
      <w:spacing w:val="5"/>
    </w:rPr>
  </w:style>
  <w:style w:type="paragraph" w:styleId="Header">
    <w:name w:val="header"/>
    <w:basedOn w:val="Normal"/>
    <w:link w:val="HeaderChar"/>
    <w:uiPriority w:val="99"/>
    <w:unhideWhenUsed/>
    <w:rsid w:val="005222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221E"/>
  </w:style>
  <w:style w:type="paragraph" w:styleId="Footer">
    <w:name w:val="footer"/>
    <w:basedOn w:val="Normal"/>
    <w:link w:val="FooterChar"/>
    <w:uiPriority w:val="99"/>
    <w:unhideWhenUsed/>
    <w:rsid w:val="005222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22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0b9521b-e169-4664-869a-9d9ce20a155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911956C0A5B44395A1FF66436F0092" ma:contentTypeVersion="10" ma:contentTypeDescription="Create a new document." ma:contentTypeScope="" ma:versionID="5b5dc6be251038e8bd85eb6042746323">
  <xsd:schema xmlns:xsd="http://www.w3.org/2001/XMLSchema" xmlns:xs="http://www.w3.org/2001/XMLSchema" xmlns:p="http://schemas.microsoft.com/office/2006/metadata/properties" xmlns:ns3="30b9521b-e169-4664-869a-9d9ce20a1558" targetNamespace="http://schemas.microsoft.com/office/2006/metadata/properties" ma:root="true" ma:fieldsID="8594219d841187dd77b6491b95147c5d" ns3:_="">
    <xsd:import namespace="30b9521b-e169-4664-869a-9d9ce20a15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b9521b-e169-4664-869a-9d9ce20a15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08595A-B46A-47C8-B9A1-FD9AE8C45798}">
  <ds:schemaRefs>
    <ds:schemaRef ds:uri="http://schemas.microsoft.com/office/2006/metadata/properties"/>
    <ds:schemaRef ds:uri="http://schemas.microsoft.com/office/infopath/2007/PartnerControls"/>
    <ds:schemaRef ds:uri="30b9521b-e169-4664-869a-9d9ce20a1558"/>
  </ds:schemaRefs>
</ds:datastoreItem>
</file>

<file path=customXml/itemProps2.xml><?xml version="1.0" encoding="utf-8"?>
<ds:datastoreItem xmlns:ds="http://schemas.openxmlformats.org/officeDocument/2006/customXml" ds:itemID="{78F4A00C-E38C-408B-9B3A-44FEC71CCA5D}">
  <ds:schemaRefs>
    <ds:schemaRef ds:uri="http://schemas.microsoft.com/sharepoint/v3/contenttype/forms"/>
  </ds:schemaRefs>
</ds:datastoreItem>
</file>

<file path=customXml/itemProps3.xml><?xml version="1.0" encoding="utf-8"?>
<ds:datastoreItem xmlns:ds="http://schemas.openxmlformats.org/officeDocument/2006/customXml" ds:itemID="{1494F00E-E987-465D-A683-41EEABB637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b9521b-e169-4664-869a-9d9ce20a15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1207</TotalTime>
  <Pages>3</Pages>
  <Words>1145</Words>
  <Characters>6839</Characters>
  <Application>Microsoft Office Word</Application>
  <DocSecurity>0</DocSecurity>
  <Lines>102</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Karaesmen, Mehmet E</dc:creator>
  <cp:keywords/>
  <dc:description/>
  <cp:lastModifiedBy>Karaesmen, Mehmet E</cp:lastModifiedBy>
  <cp:revision>6</cp:revision>
  <dcterms:created xsi:type="dcterms:W3CDTF">2026-01-14T19:48:00Z</dcterms:created>
  <dcterms:modified xsi:type="dcterms:W3CDTF">2026-01-15T16:19:00Z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0x010100DA911956C0A5B44395A1FF66436F0092</vt:lpwstr>
  </property>
</Properties>
</file>