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A51BB" w14:textId="77777777" w:rsidR="00F54826" w:rsidRDefault="00F54826" w:rsidP="00F54826">
      <w:pPr>
        <w:rPr>
          <w:b/>
          <w:bCs/>
        </w:rPr>
      </w:pPr>
      <w:r w:rsidRPr="00B46FA3">
        <w:rPr>
          <w:b/>
          <w:bCs/>
        </w:rPr>
        <w:t>High-resolution Coral Geodesy in the Solomon Islands</w:t>
      </w:r>
    </w:p>
    <w:p w14:paraId="5C5E6041" w14:textId="77777777" w:rsidR="00F54826" w:rsidRPr="00B46FA3" w:rsidRDefault="00F54826" w:rsidP="00F54826">
      <w:pPr>
        <w:rPr>
          <w:i/>
          <w:iCs/>
        </w:rPr>
      </w:pPr>
      <w:r w:rsidRPr="00B46FA3">
        <w:rPr>
          <w:i/>
          <w:iCs/>
        </w:rPr>
        <w:t>Decadal Deformation and Slow Slip via Stable Isotope Analysis</w:t>
      </w:r>
    </w:p>
    <w:p w14:paraId="2B9F77FA" w14:textId="77777777" w:rsidR="00F54826" w:rsidRDefault="00F54826" w:rsidP="00F54826">
      <w:r>
        <w:br/>
        <w:t>T</w:t>
      </w:r>
      <w:r w:rsidRPr="00287DC1">
        <w:t xml:space="preserve">he traditional earthquake cycle model is typically conceptualized in two distinct phases: decades to centuries of steady </w:t>
      </w:r>
      <w:proofErr w:type="spellStart"/>
      <w:r w:rsidRPr="00287DC1">
        <w:t>interseismic</w:t>
      </w:r>
      <w:proofErr w:type="spellEnd"/>
      <w:r w:rsidRPr="00287DC1">
        <w:t xml:space="preserve"> locking followed by seconds of rapid </w:t>
      </w:r>
      <w:proofErr w:type="spellStart"/>
      <w:r w:rsidRPr="00287DC1">
        <w:t>coseismic</w:t>
      </w:r>
      <w:proofErr w:type="spellEnd"/>
      <w:r w:rsidRPr="00287DC1">
        <w:t xml:space="preserve"> rupture. However, high-resolution geodetic observations from recent megathrust events increasingly challenge this binary view, revealing complex transient deformations. To expand our understanding of these processes, the New Georgia Group in the Solomon Islands provides a unique tectonic laboratory. Here, the Woodlark Basin subducts beneath the Solomon Arc, with islands positioned less than</w:t>
      </w:r>
      <w:r w:rsidRPr="00B46FA3">
        <w:t xml:space="preserve"> 30 km from the trench and the 2007 </w:t>
      </w:r>
      <w:r>
        <w:t>M</w:t>
      </w:r>
      <w:r w:rsidRPr="00B46FA3">
        <w:rPr>
          <w:vertAlign w:val="subscript"/>
        </w:rPr>
        <w:t>W</w:t>
      </w:r>
      <w:r>
        <w:t>8.1</w:t>
      </w:r>
      <w:r w:rsidRPr="00B46FA3">
        <w:t xml:space="preserve"> earthquake epicenter situated within 10 km of the coast.</w:t>
      </w:r>
      <w:r>
        <w:t xml:space="preserve"> </w:t>
      </w:r>
    </w:p>
    <w:p w14:paraId="1FCA8DE9" w14:textId="77777777" w:rsidR="00F54826" w:rsidRDefault="00F54826" w:rsidP="00F54826">
      <w:r w:rsidRPr="00B46FA3">
        <w:t xml:space="preserve">This extreme proximity allows for the use of Porites corals as high-resolution recorders of past vertical motions. While coral morphology has been used to identify </w:t>
      </w:r>
      <w:proofErr w:type="spellStart"/>
      <w:r w:rsidRPr="00B46FA3">
        <w:t>coseismic</w:t>
      </w:r>
      <w:proofErr w:type="spellEnd"/>
      <w:r w:rsidRPr="00B46FA3">
        <w:t xml:space="preserve"> events for decades, we propose a novel method utilizing stable isotope analysis </w:t>
      </w:r>
      <w:r>
        <w:t>(</w:t>
      </w:r>
      <w:r w:rsidRPr="0052221E">
        <w:t>δ13C</w:t>
      </w:r>
      <w:r>
        <w:t xml:space="preserve"> </w:t>
      </w:r>
      <w:r w:rsidRPr="00B46FA3">
        <w:t xml:space="preserve">and </w:t>
      </w:r>
      <w:r w:rsidRPr="0052221E">
        <w:t>δ1</w:t>
      </w:r>
      <w:r>
        <w:t>8O</w:t>
      </w:r>
      <w:r w:rsidRPr="00B46FA3">
        <w:t>) to quantify relative sea-level (RSL) changes with annual resolution.</w:t>
      </w:r>
      <w:r>
        <w:t xml:space="preserve"> </w:t>
      </w:r>
      <w:r w:rsidRPr="00B46FA3">
        <w:t xml:space="preserve">We first established the robustness of the water depth and </w:t>
      </w:r>
      <w:r w:rsidRPr="0052221E">
        <w:t>δ13C</w:t>
      </w:r>
      <w:r>
        <w:t xml:space="preserve"> </w:t>
      </w:r>
      <w:r w:rsidRPr="00B46FA3">
        <w:t>relationship using 141 new samples collected across varying depths within the same time span. For depths between 170 and 110 cm below the sea surface, the samples demonstrate a strong linear correlation (</w:t>
      </w:r>
      <w:r>
        <w:t>R</w:t>
      </w:r>
      <w:r>
        <w:rPr>
          <w:vertAlign w:val="superscript"/>
        </w:rPr>
        <w:t>2</w:t>
      </w:r>
      <w:r w:rsidRPr="00B46FA3">
        <w:t>= 0.982), though this relationship becomes non-linear in shallower conditions.</w:t>
      </w:r>
    </w:p>
    <w:p w14:paraId="38B2E030" w14:textId="77777777" w:rsidR="00F54826" w:rsidRDefault="00F54826" w:rsidP="00F54826">
      <w:r w:rsidRPr="00B410E2">
        <w:t xml:space="preserve">Applying this proxy to a 692-sample time series (1928–2012), we validated the records against tide gauges and regional catalogues. The 2007 </w:t>
      </w:r>
      <w:r>
        <w:t>M</w:t>
      </w:r>
      <w:r w:rsidRPr="00B46FA3">
        <w:rPr>
          <w:vertAlign w:val="subscript"/>
        </w:rPr>
        <w:t>W</w:t>
      </w:r>
      <w:r>
        <w:rPr>
          <w:vertAlign w:val="subscript"/>
        </w:rPr>
        <w:t xml:space="preserve"> </w:t>
      </w:r>
      <w:r>
        <w:t>8.1</w:t>
      </w:r>
      <w:r w:rsidRPr="00B46FA3">
        <w:t xml:space="preserve"> </w:t>
      </w:r>
      <w:r w:rsidRPr="00B410E2">
        <w:t xml:space="preserve">event is strikingly preserved: morphology records an approximately 70 cm uplift (manifesting as a distinct "die-down" of the coral head), while the </w:t>
      </w:r>
      <w:r w:rsidRPr="0052221E">
        <w:t>δ13C</w:t>
      </w:r>
      <w:r>
        <w:t xml:space="preserve"> </w:t>
      </w:r>
      <w:r w:rsidRPr="00B410E2">
        <w:t xml:space="preserve">record shows a corresponding excursion exceeding </w:t>
      </w:r>
      <w:r>
        <w:t>2</w:t>
      </w:r>
      <w:r w:rsidRPr="0052221E">
        <w:t>‰</w:t>
      </w:r>
      <w:r w:rsidRPr="00B410E2">
        <w:t xml:space="preserve">. The 1936 event is similarly captured by a significant </w:t>
      </w:r>
      <w:r w:rsidRPr="0052221E">
        <w:t>δ</w:t>
      </w:r>
      <w:r>
        <w:t xml:space="preserve">18O </w:t>
      </w:r>
      <w:r w:rsidRPr="00B410E2">
        <w:t>drop, with post-seismic relaxation recorded across two independent drilling paths.</w:t>
      </w:r>
    </w:p>
    <w:p w14:paraId="414F6249" w14:textId="77777777" w:rsidR="00F54826" w:rsidRPr="0052221E" w:rsidRDefault="00F54826" w:rsidP="00F54826">
      <w:r w:rsidRPr="00B410E2">
        <w:t xml:space="preserve">Beyond </w:t>
      </w:r>
      <w:proofErr w:type="spellStart"/>
      <w:r w:rsidRPr="00B410E2">
        <w:t>coseismic</w:t>
      </w:r>
      <w:proofErr w:type="spellEnd"/>
      <w:r w:rsidRPr="00B410E2">
        <w:t xml:space="preserve"> offsets, we identify decadal uplift and subsidence periods interpreted as complex </w:t>
      </w:r>
      <w:proofErr w:type="spellStart"/>
      <w:r w:rsidRPr="00B410E2">
        <w:t>interseismic</w:t>
      </w:r>
      <w:proofErr w:type="spellEnd"/>
      <w:r w:rsidRPr="00B410E2">
        <w:t xml:space="preserve"> patterns. Specifically, we identify potential Slow Slip Event (SSE) phases during </w:t>
      </w:r>
      <w:r w:rsidRPr="000D2AF6">
        <w:t>1955–1964, 1977–1986, and 1999–2002.</w:t>
      </w:r>
      <w:r w:rsidRPr="00B410E2">
        <w:t xml:space="preserve"> These results demonstrate that stable isotope analysis in corals can bridge the gap between instrumental geodesy and </w:t>
      </w:r>
      <w:proofErr w:type="spellStart"/>
      <w:r w:rsidRPr="00B410E2">
        <w:t>paleoseismology</w:t>
      </w:r>
      <w:proofErr w:type="spellEnd"/>
      <w:r w:rsidRPr="00B410E2">
        <w:t>, providing a high-resolution view of the mechanical behavior and stress-loading periods of subduction megathrusts.</w:t>
      </w:r>
    </w:p>
    <w:p w14:paraId="183B568D" w14:textId="77777777" w:rsidR="008E50E2" w:rsidRDefault="008E50E2"/>
    <w:sectPr w:rsidR="008E5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826"/>
    <w:rsid w:val="00544387"/>
    <w:rsid w:val="008E50E2"/>
    <w:rsid w:val="00A212A6"/>
    <w:rsid w:val="00A25C75"/>
    <w:rsid w:val="00F54826"/>
    <w:rsid w:val="00F65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FCFDC"/>
  <w15:chartTrackingRefBased/>
  <w15:docId w15:val="{10448465-AE43-4E65-9602-63F49519E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826"/>
  </w:style>
  <w:style w:type="paragraph" w:styleId="Heading1">
    <w:name w:val="heading 1"/>
    <w:basedOn w:val="Normal"/>
    <w:next w:val="Normal"/>
    <w:link w:val="Heading1Char"/>
    <w:uiPriority w:val="9"/>
    <w:qFormat/>
    <w:rsid w:val="00F54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826"/>
    <w:rPr>
      <w:rFonts w:eastAsiaTheme="majorEastAsia" w:cstheme="majorBidi"/>
      <w:color w:val="272727" w:themeColor="text1" w:themeTint="D8"/>
    </w:rPr>
  </w:style>
  <w:style w:type="paragraph" w:styleId="Title">
    <w:name w:val="Title"/>
    <w:basedOn w:val="Normal"/>
    <w:next w:val="Normal"/>
    <w:link w:val="TitleChar"/>
    <w:uiPriority w:val="10"/>
    <w:qFormat/>
    <w:rsid w:val="00F54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826"/>
    <w:pPr>
      <w:spacing w:before="160"/>
      <w:jc w:val="center"/>
    </w:pPr>
    <w:rPr>
      <w:i/>
      <w:iCs/>
      <w:color w:val="404040" w:themeColor="text1" w:themeTint="BF"/>
    </w:rPr>
  </w:style>
  <w:style w:type="character" w:customStyle="1" w:styleId="QuoteChar">
    <w:name w:val="Quote Char"/>
    <w:basedOn w:val="DefaultParagraphFont"/>
    <w:link w:val="Quote"/>
    <w:uiPriority w:val="29"/>
    <w:rsid w:val="00F54826"/>
    <w:rPr>
      <w:i/>
      <w:iCs/>
      <w:color w:val="404040" w:themeColor="text1" w:themeTint="BF"/>
    </w:rPr>
  </w:style>
  <w:style w:type="paragraph" w:styleId="ListParagraph">
    <w:name w:val="List Paragraph"/>
    <w:basedOn w:val="Normal"/>
    <w:uiPriority w:val="34"/>
    <w:qFormat/>
    <w:rsid w:val="00F54826"/>
    <w:pPr>
      <w:ind w:left="720"/>
      <w:contextualSpacing/>
    </w:pPr>
  </w:style>
  <w:style w:type="character" w:styleId="IntenseEmphasis">
    <w:name w:val="Intense Emphasis"/>
    <w:basedOn w:val="DefaultParagraphFont"/>
    <w:uiPriority w:val="21"/>
    <w:qFormat/>
    <w:rsid w:val="00F54826"/>
    <w:rPr>
      <w:i/>
      <w:iCs/>
      <w:color w:val="0F4761" w:themeColor="accent1" w:themeShade="BF"/>
    </w:rPr>
  </w:style>
  <w:style w:type="paragraph" w:styleId="IntenseQuote">
    <w:name w:val="Intense Quote"/>
    <w:basedOn w:val="Normal"/>
    <w:next w:val="Normal"/>
    <w:link w:val="IntenseQuoteChar"/>
    <w:uiPriority w:val="30"/>
    <w:qFormat/>
    <w:rsid w:val="00F54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826"/>
    <w:rPr>
      <w:i/>
      <w:iCs/>
      <w:color w:val="0F4761" w:themeColor="accent1" w:themeShade="BF"/>
    </w:rPr>
  </w:style>
  <w:style w:type="character" w:styleId="IntenseReference">
    <w:name w:val="Intense Reference"/>
    <w:basedOn w:val="DefaultParagraphFont"/>
    <w:uiPriority w:val="32"/>
    <w:qFormat/>
    <w:rsid w:val="00F548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352</Words>
  <Characters>2103</Characters>
  <Application>Microsoft Office Word</Application>
  <DocSecurity>0</DocSecurity>
  <Lines>31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Karaesmen, Mehmet E</dc:creator>
  <cp:keywords/>
  <dc:description/>
  <cp:lastModifiedBy>Karaesmen, Mehmet E</cp:lastModifiedBy>
  <cp:revision>3</cp:revision>
  <dcterms:created xsi:type="dcterms:W3CDTF">2026-01-15T02:55:00Z</dcterms:created>
  <dcterms:modified xsi:type="dcterms:W3CDTF">2026-01-15T16:20:00Z</dcterms:modified>
</cp:coreProperties>
</file>