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50A42" w14:textId="0BE92203" w:rsidR="00EB41CF" w:rsidRDefault="00000000" w:rsidP="00D94D4A">
      <w:pPr>
        <w:pStyle w:val="Heading1"/>
      </w:pPr>
      <w:r>
        <w:t>Age Model</w:t>
      </w:r>
    </w:p>
    <w:p w14:paraId="6F6751CD" w14:textId="77777777" w:rsidR="00EB41CF" w:rsidRDefault="00000000">
      <w:pPr>
        <w:pStyle w:val="Heading2"/>
      </w:pPr>
      <w:r>
        <w:t>Methods</w:t>
      </w:r>
    </w:p>
    <w:p w14:paraId="69BA1EC8" w14:textId="77F3581C" w:rsidR="00EB41CF" w:rsidRDefault="00000000">
      <w:pPr>
        <w:spacing w:after="200"/>
        <w:jc w:val="both"/>
      </w:pPr>
      <w:r>
        <w:t>We developed a climate-based age model for the coral δ¹⁸O record following established pseudocoral forward modelling approaches. Rather than relying solely on X-ray density band counts as the primary chronological constraint, we anchored the age model directly to a synthetic δ¹⁸O reference derived from instrumental climate data, using X-ray band stratigraphy for spatial registration between sampling paths</w:t>
      </w:r>
      <w:r w:rsidR="00540994">
        <w:t xml:space="preserve"> and the coral morphology</w:t>
      </w:r>
      <w:r>
        <w:t>.</w:t>
      </w:r>
    </w:p>
    <w:p w14:paraId="243BBB7F" w14:textId="77777777" w:rsidR="00EB41CF" w:rsidRDefault="00000000">
      <w:pPr>
        <w:spacing w:after="200"/>
        <w:jc w:val="both"/>
      </w:pPr>
      <w:r>
        <w:t>The synthetic δ¹⁸O reference was constructed using the pseudocoral forward model of Thompson et al. (2011), which expresses coral δ¹⁸O as a linear function of sea surface temperature (SST) and sea surface salinity (SSS):</w:t>
      </w:r>
    </w:p>
    <w:p w14:paraId="2294ACA3" w14:textId="5738866B" w:rsidR="00EB41CF" w:rsidRDefault="00000000">
      <w:pPr>
        <w:spacing w:before="120" w:after="120"/>
        <w:jc w:val="center"/>
      </w:pPr>
      <w:r>
        <w:rPr>
          <w:i/>
          <w:iCs/>
        </w:rPr>
        <w:t>δ¹⁸Oₜ = α₁ × SST + α₂ × SSS</w:t>
      </w:r>
    </w:p>
    <w:p w14:paraId="3CAFB737" w14:textId="32257C01" w:rsidR="00EB41CF" w:rsidRDefault="00000000">
      <w:pPr>
        <w:spacing w:after="200"/>
        <w:jc w:val="both"/>
      </w:pPr>
      <w:r>
        <w:t xml:space="preserve">We applied the geographically calibrated coefficients proposed by Thompson et al. (2011) for our study region: α₁ = −0.22 ‰/°C (SST sensitivity) and α₂ = 0.45 ‰/psu (SSS sensitivity). Monthly SST and SSS fields were obtained from the ECMWF Ocean Reanalysis System 5 (ORAS5; Zuo et al., 2019) for the period 1958–2007, extracted at </w:t>
      </w:r>
      <w:r w:rsidR="00540994">
        <w:t>average of 4</w:t>
      </w:r>
      <w:r>
        <w:t xml:space="preserve"> grid point</w:t>
      </w:r>
      <w:r w:rsidR="00540994">
        <w:t>s</w:t>
      </w:r>
      <w:r>
        <w:t xml:space="preserve"> nearest to the coral collection site (156.875-157.125E, 8.375-8.125S). ORAS5 is provided at 0.25° × 0.25° horizontal resolution on a monthly timestep. The resulting synthetic δ¹⁸O series reproduces the observed seasonal amplitude and interannual variability of the regional climate signal and serves as the calibration target for the age model.</w:t>
      </w:r>
    </w:p>
    <w:p w14:paraId="3C149631" w14:textId="661F2A1A" w:rsidR="00EB41CF" w:rsidRDefault="00000000">
      <w:pPr>
        <w:spacing w:after="200"/>
        <w:jc w:val="both"/>
      </w:pPr>
      <w:r>
        <w:t xml:space="preserve">The coral slab was cut into </w:t>
      </w:r>
      <w:r>
        <w:rPr>
          <w:color w:val="EE0000"/>
          <w:highlight w:val="yellow"/>
        </w:rPr>
        <w:t>10</w:t>
      </w:r>
      <w:r>
        <w:rPr>
          <w:color w:val="EE0000"/>
        </w:rPr>
        <w:t xml:space="preserve"> </w:t>
      </w:r>
      <w:r>
        <w:t xml:space="preserve">pieces of 30–40 cm for handling during sampling and X-ray radiography. Each piece was X-ray scanned individually before and after isotope sampling. To register the position of each sample on its drilling path within the X-ray image, indicator notches were carved at the end of every sixth sample along each path. The slab pieces were then co-registered digitally to reconstruct the continuous spatial framework of the full slab. This allowed the relative stratigraphic position of each sample to be determined and used to anchor the temporal relationship between parallel drilling paths as well as the morphology measurements. X-ray density bands were used for </w:t>
      </w:r>
      <w:r w:rsidR="002A7E67">
        <w:t>these</w:t>
      </w:r>
      <w:r>
        <w:t xml:space="preserve"> spatial registration </w:t>
      </w:r>
      <w:proofErr w:type="gramStart"/>
      <w:r>
        <w:t>purpose</w:t>
      </w:r>
      <w:proofErr w:type="gramEnd"/>
      <w:r>
        <w:t>; they were not used as the primary basis for absolute age assignment.</w:t>
      </w:r>
    </w:p>
    <w:p w14:paraId="7CD2AE23" w14:textId="754613C9" w:rsidR="00EB41CF" w:rsidRDefault="00000000">
      <w:pPr>
        <w:spacing w:after="200"/>
        <w:jc w:val="both"/>
      </w:pPr>
      <w:r>
        <w:t>This approach was motivated by a systematic discrepancy identified between the X-ray band count and the climate-matched chronology. Initial band counting yielded approximately 80 annual density couplets</w:t>
      </w:r>
      <w:r w:rsidR="002A7E67">
        <w:t xml:space="preserve"> (dark and light)</w:t>
      </w:r>
      <w:r>
        <w:t xml:space="preserve"> across the full core length, implying a record </w:t>
      </w:r>
      <w:proofErr w:type="gramStart"/>
      <w:r>
        <w:t>spanning</w:t>
      </w:r>
      <w:proofErr w:type="gramEnd"/>
      <w:r>
        <w:t xml:space="preserve"> ~80 years. However, the climate-matched age model places the same physical record within ~70 calendar years, a difference of approximately 10 years at the base of the core. This offset is consistent with known counting artefacts in massive Porites, where sub-annual density features</w:t>
      </w:r>
      <w:r w:rsidR="00A724B0">
        <w:t>,</w:t>
      </w:r>
      <w:r>
        <w:t xml:space="preserve"> including stress bands associated with bleaching events, storm disturbance, or strong seasonal temperature excursions</w:t>
      </w:r>
      <w:r w:rsidR="00A724B0">
        <w:t>,</w:t>
      </w:r>
      <w:r>
        <w:t xml:space="preserve"> can produce density couplets that superficially resemble true annual bands (Lough &amp; Barnes</w:t>
      </w:r>
      <w:r w:rsidR="002A7E67">
        <w:t xml:space="preserve"> 2000</w:t>
      </w:r>
      <w:r>
        <w:t>; DeLong et al.</w:t>
      </w:r>
      <w:r w:rsidR="002A7E67">
        <w:t xml:space="preserve"> 2013</w:t>
      </w:r>
      <w:r>
        <w:t xml:space="preserve">). </w:t>
      </w:r>
      <w:r w:rsidRPr="00A724B0">
        <w:rPr>
          <w:strike/>
        </w:rPr>
        <w:t>Inspection of the X-ray images confirmed the presence of anomalously thin band pairs in two intervals (~1964–1977 and ~1997–2006 in the climate-matched chronology) consistent with this interpretation.</w:t>
      </w:r>
    </w:p>
    <w:p w14:paraId="396F7AD6" w14:textId="17FB2E5A" w:rsidR="00EB41CF" w:rsidRDefault="00000000">
      <w:pPr>
        <w:spacing w:after="200"/>
        <w:jc w:val="both"/>
      </w:pPr>
      <w:r>
        <w:lastRenderedPageBreak/>
        <w:t>The age model was constructed by identifying annual δ¹⁸O cycles in the coral record and matching them one-to-one with the corresponding annual cycles in the synthetic δ¹⁸O reference</w:t>
      </w:r>
      <w:r w:rsidR="00A724B0">
        <w:t xml:space="preserve"> to maximize the correlation between the two signals.</w:t>
      </w:r>
      <w:r>
        <w:t xml:space="preserve"> </w:t>
      </w:r>
      <w:r w:rsidRPr="00A724B0">
        <w:rPr>
          <w:strike/>
          <w:color w:val="EE0000"/>
        </w:rPr>
        <w:t>using an interactive peak-matching tool developed for this study</w:t>
      </w:r>
      <w:r>
        <w:t xml:space="preserve">. Each matched cycle boundary produced an anchor pair mapping a position in the coral’s pseudo-year axis (derived from the linear spatial framework of the X-ray registration) to a real calendar year. These anchor pairs were used to construct a piecewise-linear warp function that converts pseudo-years to calibrated calendar years. The final age model spans 1958–2007 for the climate-matched interval, achieving a Pearson correlation coefficient of </w:t>
      </w:r>
      <w:r>
        <w:rPr>
          <w:b/>
          <w:bCs/>
        </w:rPr>
        <w:t>r = 0.729</w:t>
      </w:r>
      <w:r>
        <w:t xml:space="preserve"> between the warped coral δ¹⁸O and the synthetic climate reference.</w:t>
      </w:r>
    </w:p>
    <w:p w14:paraId="04C842FB" w14:textId="0C53C0A5" w:rsidR="00EB41CF" w:rsidRDefault="00000000">
      <w:pPr>
        <w:spacing w:after="200"/>
        <w:jc w:val="both"/>
      </w:pPr>
      <w:r>
        <w:t xml:space="preserve">For the portion of the record </w:t>
      </w:r>
      <w:r w:rsidR="00A724B0">
        <w:t>before</w:t>
      </w:r>
      <w:r>
        <w:t xml:space="preserve"> the ORAS5 reanalysis (before 1958), the age model was extended by extrapolation using the average annual cycle period derived from the climate-matched section. Synthetic cycles were constructed by annual averages consistent with the observed seasonal phasing of the δ¹⁸O signal</w:t>
      </w:r>
      <w:r w:rsidR="00A724B0">
        <w:t xml:space="preserve"> and adequate gaussian noise</w:t>
      </w:r>
      <w:r>
        <w:t xml:space="preserve">. This yields a total signal spanning approximately 1936–1958 CE and the observed δ¹⁸O values yielded </w:t>
      </w:r>
      <w:r>
        <w:rPr>
          <w:b/>
          <w:bCs/>
        </w:rPr>
        <w:t>r=0.463</w:t>
      </w:r>
      <w:r>
        <w:t xml:space="preserve"> for given period.</w:t>
      </w:r>
    </w:p>
    <w:p w14:paraId="11BE457E" w14:textId="77777777" w:rsidR="00EB41CF" w:rsidRDefault="00000000">
      <w:pPr>
        <w:pStyle w:val="Heading2"/>
      </w:pPr>
      <w:r>
        <w:t>Discussion</w:t>
      </w:r>
    </w:p>
    <w:p w14:paraId="4B7CAFFD" w14:textId="02059EFD" w:rsidR="00EB41CF" w:rsidRDefault="00000000">
      <w:pPr>
        <w:spacing w:after="200"/>
        <w:jc w:val="both"/>
      </w:pPr>
      <w:r>
        <w:t xml:space="preserve">The mean linear extension rate implied by our age model is approximately </w:t>
      </w:r>
      <w:r>
        <w:rPr>
          <w:color w:val="EE0000"/>
        </w:rPr>
        <w:t xml:space="preserve">1.4 </w:t>
      </w:r>
      <w:r>
        <w:t>cm yr⁻¹ (Fig. [XX]), which falls within the range documented for massive Porites corals across the Indo-Pacific (~0.7–1.8 cm yr⁻¹; Lough &amp; Barnes, [YEAR]; Tanzil et al., 2009). However, several sources of artefact in the growth rate time series should be considered. First, our drilling paths were oriented horizontally, whereas linear extension rates in the literature are typically measured parallel to the vertical growth axis. Growth rates computed from our sampling geometry therefore reflect the horizontal component of skeletal accretion, which may differ from vertical extension depending on the morphological curvature of the coral head at each sampled depth.</w:t>
      </w:r>
    </w:p>
    <w:p w14:paraId="0978661D" w14:textId="1CA82C7B" w:rsidR="00EB41CF" w:rsidRDefault="00000000">
      <w:pPr>
        <w:spacing w:after="200"/>
        <w:jc w:val="both"/>
      </w:pPr>
      <w:r>
        <w:t>Second, the drilling paths were positioned to avoid biorubated zones and physically disturbed skeletal material near exposed slab surfaces, rather than following the growth apex of the coral dome, which would represent the optimal sampling trajectory for linear extension measurement. As a consequence, some paths deviate from the ideal radial direction, introducing geometric artefacts into the apparent sample spacing. These two factors are the principal sources of variability in the growth rate series and should be considered when interpreting temporal changes in skeletal extension.</w:t>
      </w:r>
    </w:p>
    <w:p w14:paraId="1AB2C301" w14:textId="77777777" w:rsidR="00000000" w:rsidRDefault="00000000">
      <w:pPr>
        <w:jc w:val="both"/>
      </w:pPr>
      <w:r>
        <w:t>A third source of uncertainty relates to the sampling density relative to the seasonal cycle. The mean inter-sample interval across all drilling paths is approximately 0.08 yr (~29 days), comparable to the monthly resolution of the ORAS5 climate reference. In intervals where sample spacing increases to 0.15–0.25 yr—as occurs in the deeper portions of several paths where the coral skeleton is more compact—the within-year phasing of individual samples becomes ambiguous with respect to the seasonal δ¹⁸O cycle.</w:t>
      </w:r>
      <w:r>
        <w:t xml:space="preserve"> This ambiguity is the primary factor limiting correlation in the pre-1958 section of the record, where no independent climate constraint is available and sample placement must be inferred from the shape of the δ¹⁸O series alone. For the post-1958 period, the Pearson correlation between the warped coral δ¹⁸O and the ORAS5-derived synthetic reference is r = 0.729 (n = 398), which we consider a robust constraint given the seasonal amplitude of the signal (~0.5 ‰ PDB) relative to the </w:t>
      </w:r>
      <w:r>
        <w:lastRenderedPageBreak/>
        <w:t>analytical uncertainty (~0</w:t>
      </w:r>
      <w:r>
        <w:t>.05 ‰). The lower correlation in the pre-1958 section (r = 0.463, n = 176) should be interpreted accordingly as reflecting both the stochastic nature of the synthetic climate extension and the reduced constraint on within-year sample placement.</w:t>
      </w:r>
    </w:p>
    <w:p w14:paraId="1AB2C302" w14:textId="77777777" w:rsidR="00000000" w:rsidRDefault="00000000">
      <w:pPr>
        <w:jc w:val="both"/>
      </w:pPr>
      <w:r>
        <w:t>The identification of phantom density bands in two specific intervals (~1964–1977 and ~1997 – 2006) has implications beyond the age model itself. The presence of sub-annual stress couplets in the X-ray record is consistent with documented bleaching and thermal stress events in the Indo-Pacific during these decades, including the 1982–1983 and 1997–1998 El Niño events, both of which are associated with anomalously high SST at our study site in the ORAS5 record. The δ¹⁸O series exhibits corresponding positive</w:t>
      </w:r>
      <w:r>
        <w:t xml:space="preserve"> excursions in the climate-matched chronology, corroborating the interpretation that these density artefacts are thermally driven rather than diagenetic in origin. This provides independent geochemical support for the age model correction in these intervals, and suggests that the phantom bands could serve as event markers for future stratigraphic cross-validation against regional bleaching records.</w:t>
      </w:r>
    </w:p>
    <w:p w14:paraId="1AB2C303" w14:textId="77777777" w:rsidR="00000000" w:rsidRDefault="00000000">
      <w:pPr>
        <w:jc w:val="both"/>
      </w:pPr>
      <w:r>
        <w:t>The multi-path sampling strategy employed here—with up to three parallel drilling paths active in any given time interval—provides a degree of redundancy that is unusual in coral isotope records. Where paths overlap in calendar time, the agreement between independent δ¹⁸O series from adjacent paths can be used as an internal consistency check on the age model. In the overlap zones identified in this record (paths K–J–I in 1973–1977 and paths I–H in 1992–1993), the edited age model yields substantially impro</w:t>
      </w:r>
      <w:r>
        <w:t>ved path-to-path coherence compared to the initial X-ray-based chronology. The improvement is most pronounced for Path K (r increasing from 0.149 to 0.405 against the climate reference), which spans the period 1966–1974 CE and crosses both phantom-band windows identified above. The residual inter-path scatter in δ¹⁸O after age correction is attributable to genuine lateral heterogeneity in skeletal geochemistry between drilling trajectories at different radial positions within the coral head, a well-document</w:t>
      </w:r>
      <w:r>
        <w:t>ed phenomenon in massive Porites (e.g., Allison et al., 2005; Gagan et al., 2012). Quantifying this spatial heterogeneity will be the focus of the multi-depth horizon analysis (MEMO dataset) to be reported separately.</w:t>
      </w:r>
    </w:p>
    <w:p w14:paraId="64FF3535" w14:textId="77777777" w:rsidR="00EB41CF" w:rsidRDefault="00000000">
      <w:pPr>
        <w:pStyle w:val="Heading2"/>
      </w:pPr>
      <w:r>
        <w:t>References (to be completed)</w:t>
      </w:r>
    </w:p>
    <w:p w14:paraId="2DA92712" w14:textId="77777777" w:rsidR="00EB41CF" w:rsidRDefault="00000000">
      <w:pPr>
        <w:spacing w:after="160"/>
      </w:pPr>
      <w:r>
        <w:rPr>
          <w:i/>
          <w:iCs/>
        </w:rPr>
        <w:t>Thompson, D.M., et al. (2011). A coral δ¹⁸O record of North Pacific decadal variability. Paleoceanography, 26(2).</w:t>
      </w:r>
    </w:p>
    <w:p w14:paraId="4D4C97D5" w14:textId="77777777" w:rsidR="00EB41CF" w:rsidRDefault="00000000">
      <w:pPr>
        <w:spacing w:after="160"/>
      </w:pPr>
      <w:r>
        <w:rPr>
          <w:i/>
          <w:iCs/>
        </w:rPr>
        <w:t>Zuo, H., et al. (2019). The ECMWF operational ensemble reanalysis–analysis system for ocean and sea ice: a description of the system and assessment of the reanalysis products. Ocean Science, 15(3), 779–808.</w:t>
      </w:r>
    </w:p>
    <w:p w14:paraId="0E69AC5C" w14:textId="77777777" w:rsidR="00EB41CF" w:rsidRDefault="00000000">
      <w:pPr>
        <w:spacing w:after="160"/>
      </w:pPr>
      <w:r>
        <w:rPr>
          <w:i/>
          <w:iCs/>
        </w:rPr>
        <w:t>Tanzil, J.T.I., et al. (2009). Coral growth in Southeast Asia: implications for climate proxies. Global Change Biology, 15, 2089–2101.</w:t>
      </w:r>
    </w:p>
    <w:p w14:paraId="07060112" w14:textId="77777777" w:rsidR="00EB41CF" w:rsidRDefault="00000000">
      <w:pPr>
        <w:spacing w:after="160"/>
        <w:rPr>
          <w:i/>
          <w:iCs/>
        </w:rPr>
      </w:pPr>
      <w:r>
        <w:rPr>
          <w:i/>
          <w:iCs/>
        </w:rPr>
        <w:t>Lough, J.M. &amp; Barnes, D.J. (2000). Environmental controls on growth of the massive coral Porites. Journal of Experimental Marine Biology and Ecology, 245, 225–243.</w:t>
      </w:r>
    </w:p>
    <w:p w14:paraId="0D48B49B" w14:textId="3BAAE525" w:rsidR="002A7E67" w:rsidRDefault="002A7E67">
      <w:pPr>
        <w:spacing w:after="160"/>
      </w:pPr>
      <w:r w:rsidRPr="002A7E67">
        <w:t>DeLong, K. L., Quinn, T. M., Taylor, F. W., Shen, C. C., &amp; Lin, K. (2013). Improving coral-</w:t>
      </w:r>
      <w:proofErr w:type="gramStart"/>
      <w:r w:rsidRPr="002A7E67">
        <w:t>base</w:t>
      </w:r>
      <w:proofErr w:type="gramEnd"/>
      <w:r w:rsidRPr="002A7E67">
        <w:t xml:space="preserve"> paleoclimate reconstructions by replicating 350 years of coral Sr/Ca variations. </w:t>
      </w:r>
      <w:proofErr w:type="spellStart"/>
      <w:r w:rsidRPr="002A7E67">
        <w:t>Palaeogeography</w:t>
      </w:r>
      <w:proofErr w:type="spellEnd"/>
      <w:r w:rsidRPr="002A7E67">
        <w:t xml:space="preserve">, Palaeoclimatology, </w:t>
      </w:r>
      <w:proofErr w:type="spellStart"/>
      <w:r w:rsidRPr="002A7E67">
        <w:t>Palaeoecology</w:t>
      </w:r>
      <w:proofErr w:type="spellEnd"/>
      <w:r w:rsidRPr="002A7E67">
        <w:t>, 373, 6-24.</w:t>
      </w:r>
    </w:p>
    <w:sectPr w:rsidR="002A7E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621C5"/>
    <w:multiLevelType w:val="hybridMultilevel"/>
    <w:tmpl w:val="5F7230BC"/>
    <w:lvl w:ilvl="0" w:tplc="2BC6BBA6">
      <w:start w:val="1"/>
      <w:numFmt w:val="bullet"/>
      <w:lvlText w:val="●"/>
      <w:lvlJc w:val="left"/>
      <w:pPr>
        <w:ind w:left="720" w:hanging="360"/>
      </w:pPr>
    </w:lvl>
    <w:lvl w:ilvl="1" w:tplc="7166E592">
      <w:start w:val="1"/>
      <w:numFmt w:val="bullet"/>
      <w:lvlText w:val="○"/>
      <w:lvlJc w:val="left"/>
      <w:pPr>
        <w:ind w:left="1440" w:hanging="360"/>
      </w:pPr>
    </w:lvl>
    <w:lvl w:ilvl="2" w:tplc="B4EE9320">
      <w:start w:val="1"/>
      <w:numFmt w:val="bullet"/>
      <w:lvlText w:val="■"/>
      <w:lvlJc w:val="left"/>
      <w:pPr>
        <w:ind w:left="2160" w:hanging="360"/>
      </w:pPr>
    </w:lvl>
    <w:lvl w:ilvl="3" w:tplc="D1229412">
      <w:start w:val="1"/>
      <w:numFmt w:val="bullet"/>
      <w:lvlText w:val="●"/>
      <w:lvlJc w:val="left"/>
      <w:pPr>
        <w:ind w:left="2880" w:hanging="360"/>
      </w:pPr>
    </w:lvl>
    <w:lvl w:ilvl="4" w:tplc="23024BE0">
      <w:start w:val="1"/>
      <w:numFmt w:val="bullet"/>
      <w:lvlText w:val="○"/>
      <w:lvlJc w:val="left"/>
      <w:pPr>
        <w:ind w:left="3600" w:hanging="360"/>
      </w:pPr>
    </w:lvl>
    <w:lvl w:ilvl="5" w:tplc="2EE44924">
      <w:start w:val="1"/>
      <w:numFmt w:val="bullet"/>
      <w:lvlText w:val="■"/>
      <w:lvlJc w:val="left"/>
      <w:pPr>
        <w:ind w:left="4320" w:hanging="360"/>
      </w:pPr>
    </w:lvl>
    <w:lvl w:ilvl="6" w:tplc="4930107A">
      <w:start w:val="1"/>
      <w:numFmt w:val="bullet"/>
      <w:lvlText w:val="●"/>
      <w:lvlJc w:val="left"/>
      <w:pPr>
        <w:ind w:left="5040" w:hanging="360"/>
      </w:pPr>
    </w:lvl>
    <w:lvl w:ilvl="7" w:tplc="6F685BAA">
      <w:start w:val="1"/>
      <w:numFmt w:val="bullet"/>
      <w:lvlText w:val="●"/>
      <w:lvlJc w:val="left"/>
      <w:pPr>
        <w:ind w:left="5760" w:hanging="360"/>
      </w:pPr>
    </w:lvl>
    <w:lvl w:ilvl="8" w:tplc="1C52D388">
      <w:start w:val="1"/>
      <w:numFmt w:val="bullet"/>
      <w:lvlText w:val="●"/>
      <w:lvlJc w:val="left"/>
      <w:pPr>
        <w:ind w:left="6480" w:hanging="360"/>
      </w:pPr>
    </w:lvl>
  </w:abstractNum>
  <w:num w:numId="1" w16cid:durableId="975724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1CF"/>
    <w:rsid w:val="002A7E67"/>
    <w:rsid w:val="002D04F0"/>
    <w:rsid w:val="00540994"/>
    <w:rsid w:val="00892BE1"/>
    <w:rsid w:val="00985E17"/>
    <w:rsid w:val="00A724B0"/>
    <w:rsid w:val="00D339CE"/>
    <w:rsid w:val="00D94D4A"/>
    <w:rsid w:val="00EB41CF"/>
    <w:rsid w:val="00F06420"/>
    <w:rsid w:val="00F6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BFB1"/>
  <w15:docId w15:val="{20707CF5-CBB0-4AFB-A031-7C072394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2636</TotalTime>
  <Pages>3</Pages>
  <Words>1637</Words>
  <Characters>8515</Characters>
  <Application>Microsoft Office Word</Application>
  <DocSecurity>0</DocSecurity>
  <Lines>160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Karaesmen, Mehmet E</cp:lastModifiedBy>
  <cp:revision>4</cp:revision>
  <dcterms:created xsi:type="dcterms:W3CDTF">2026-03-16T19:01:00Z</dcterms:created>
  <dcterms:modified xsi:type="dcterms:W3CDTF">2026-03-18T22:16:00Z</dcterms:modified>
</cp:coreProperties>
</file>