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9B22" w14:textId="03EBA277" w:rsidR="00214B69" w:rsidRDefault="00FA6CE5">
      <w:r>
        <w:t>Motivation</w:t>
      </w:r>
    </w:p>
    <w:p w14:paraId="1B388C06" w14:textId="76951A18" w:rsidR="00EF795B" w:rsidRDefault="00FA6CE5">
      <w:r>
        <w:t xml:space="preserve">Understanding the earthquake cycle with its detail widens our interpretation about </w:t>
      </w:r>
      <w:r w:rsidR="00EF795B">
        <w:t>the fundamentals</w:t>
      </w:r>
      <w:r>
        <w:t xml:space="preserve"> of earthquake physics.</w:t>
      </w:r>
      <w:r w:rsidR="00EF795B">
        <w:t xml:space="preserve"> One part of the puzzle, </w:t>
      </w:r>
      <w:proofErr w:type="spellStart"/>
      <w:proofErr w:type="gramStart"/>
      <w:r w:rsidR="00EF795B">
        <w:t>cosesismic</w:t>
      </w:r>
      <w:proofErr w:type="spellEnd"/>
      <w:proofErr w:type="gramEnd"/>
      <w:r w:rsidR="00EF795B">
        <w:t xml:space="preserve"> is </w:t>
      </w:r>
      <w:proofErr w:type="gramStart"/>
      <w:r w:rsidR="00EF795B">
        <w:t>in much more detail observed</w:t>
      </w:r>
      <w:proofErr w:type="gramEnd"/>
      <w:r w:rsidR="00EF795B">
        <w:t xml:space="preserve"> and concluded with </w:t>
      </w:r>
      <w:proofErr w:type="gramStart"/>
      <w:r w:rsidR="00EF795B">
        <w:t>physics based</w:t>
      </w:r>
      <w:proofErr w:type="gramEnd"/>
      <w:r w:rsidR="00EF795B">
        <w:t xml:space="preserve"> interpretations like slip distribution models or deformation estimations. </w:t>
      </w:r>
      <w:proofErr w:type="gramStart"/>
      <w:r w:rsidR="00EF795B">
        <w:t>However</w:t>
      </w:r>
      <w:proofErr w:type="gramEnd"/>
      <w:r w:rsidR="00EF795B">
        <w:t xml:space="preserve"> the </w:t>
      </w:r>
      <w:proofErr w:type="spellStart"/>
      <w:r w:rsidR="00EF795B">
        <w:t>interseismic</w:t>
      </w:r>
      <w:proofErr w:type="spellEnd"/>
      <w:r w:rsidR="00EF795B">
        <w:t xml:space="preserve"> or aseismic changes are harder to observe as well as we have various explanations on how </w:t>
      </w:r>
      <w:proofErr w:type="gramStart"/>
      <w:r w:rsidR="00EF795B">
        <w:t>the earthquake</w:t>
      </w:r>
      <w:proofErr w:type="gramEnd"/>
      <w:r w:rsidR="00EF795B">
        <w:t xml:space="preserve"> physics </w:t>
      </w:r>
      <w:proofErr w:type="gramStart"/>
      <w:r w:rsidR="00EF795B">
        <w:t>work</w:t>
      </w:r>
      <w:proofErr w:type="gramEnd"/>
      <w:r w:rsidR="00EF795B">
        <w:t xml:space="preserve"> during </w:t>
      </w:r>
      <w:proofErr w:type="spellStart"/>
      <w:r w:rsidR="00EF795B">
        <w:t>interseismic</w:t>
      </w:r>
      <w:proofErr w:type="spellEnd"/>
      <w:r w:rsidR="00EF795B">
        <w:t xml:space="preserve"> periods like SSE, silent earthquakes etc.</w:t>
      </w:r>
    </w:p>
    <w:p w14:paraId="5D03687B" w14:textId="6ED523BB" w:rsidR="00416025" w:rsidRDefault="009329D7" w:rsidP="00DD17A6">
      <w:pPr>
        <w:spacing w:line="240" w:lineRule="auto"/>
        <w:rPr>
          <w:color w:val="156082" w:themeColor="accent1"/>
        </w:rPr>
      </w:pPr>
      <w:r w:rsidRPr="009329D7">
        <w:rPr>
          <w:color w:val="156082" w:themeColor="accent1"/>
        </w:rPr>
        <w:t>Understanding the earthquake cycle in its entirety is fundamental to decoding the physics of faulting and improving seismic hazard assessments (</w:t>
      </w:r>
      <w:proofErr w:type="spellStart"/>
      <w:r w:rsidRPr="009329D7">
        <w:rPr>
          <w:color w:val="156082" w:themeColor="accent1"/>
        </w:rPr>
        <w:t>Avouac</w:t>
      </w:r>
      <w:proofErr w:type="spellEnd"/>
      <w:r w:rsidRPr="009329D7">
        <w:rPr>
          <w:color w:val="156082" w:themeColor="accent1"/>
        </w:rPr>
        <w:t xml:space="preserve">, 2015; Wang, 2024). Within </w:t>
      </w:r>
      <w:r>
        <w:rPr>
          <w:color w:val="156082" w:themeColor="accent1"/>
        </w:rPr>
        <w:t>the earthquake</w:t>
      </w:r>
      <w:r w:rsidRPr="009329D7">
        <w:rPr>
          <w:color w:val="156082" w:themeColor="accent1"/>
        </w:rPr>
        <w:t xml:space="preserve"> cycle, the </w:t>
      </w:r>
      <w:proofErr w:type="spellStart"/>
      <w:r w:rsidRPr="009329D7">
        <w:rPr>
          <w:color w:val="156082" w:themeColor="accent1"/>
        </w:rPr>
        <w:t>coseismic</w:t>
      </w:r>
      <w:proofErr w:type="spellEnd"/>
      <w:r w:rsidRPr="009329D7">
        <w:rPr>
          <w:color w:val="156082" w:themeColor="accent1"/>
        </w:rPr>
        <w:t xml:space="preserve"> phase is the most extensively documented; high-resolution geodetic and seismological data allow for the creation of sophisticated finite-fault models that characterize slip distribution and rupture complexity with high fidelity (Mai &amp; Beroza, 2002; Liu et al., 2024). These models provide a physics-based </w:t>
      </w:r>
      <w:r>
        <w:rPr>
          <w:color w:val="156082" w:themeColor="accent1"/>
        </w:rPr>
        <w:t>point of view</w:t>
      </w:r>
      <w:r w:rsidRPr="009329D7">
        <w:rPr>
          <w:color w:val="156082" w:themeColor="accent1"/>
        </w:rPr>
        <w:t xml:space="preserve"> into how energy is partitioned between radiation and fracture during a rupture (Kanamori &amp; Brodsky, 2004). In contrast, </w:t>
      </w:r>
      <w:proofErr w:type="spellStart"/>
      <w:r w:rsidRPr="009329D7">
        <w:rPr>
          <w:color w:val="156082" w:themeColor="accent1"/>
        </w:rPr>
        <w:t>interseismic</w:t>
      </w:r>
      <w:proofErr w:type="spellEnd"/>
      <w:r w:rsidRPr="009329D7">
        <w:rPr>
          <w:color w:val="156082" w:themeColor="accent1"/>
        </w:rPr>
        <w:t xml:space="preserve"> and aseismic processes remain significantly more enigmatic. While it is now recognized that faults exhibit a "spectrum of slip" ranging from steady </w:t>
      </w:r>
      <w:r w:rsidR="00416025" w:rsidRPr="009329D7">
        <w:rPr>
          <w:color w:val="156082" w:themeColor="accent1"/>
        </w:rPr>
        <w:t>creeps</w:t>
      </w:r>
      <w:r w:rsidRPr="009329D7">
        <w:rPr>
          <w:color w:val="156082" w:themeColor="accent1"/>
        </w:rPr>
        <w:t xml:space="preserve"> to episodic Slow Slip Events (SSEs) and "silent earthquakes"</w:t>
      </w:r>
      <w:r w:rsidR="00416025">
        <w:rPr>
          <w:color w:val="156082" w:themeColor="accent1"/>
        </w:rPr>
        <w:t>. Especially l</w:t>
      </w:r>
      <w:r w:rsidR="00416025" w:rsidRPr="00416025">
        <w:rPr>
          <w:color w:val="156082" w:themeColor="accent1"/>
        </w:rPr>
        <w:t>ater analyses of the 2011 Tohoku-Oki ($</w:t>
      </w:r>
      <w:proofErr w:type="spellStart"/>
      <w:r w:rsidR="00416025" w:rsidRPr="00416025">
        <w:rPr>
          <w:color w:val="156082" w:themeColor="accent1"/>
        </w:rPr>
        <w:t>M_w</w:t>
      </w:r>
      <w:proofErr w:type="spellEnd"/>
      <w:r w:rsidR="00416025" w:rsidRPr="00416025">
        <w:rPr>
          <w:color w:val="156082" w:themeColor="accent1"/>
        </w:rPr>
        <w:t>$ 9.0) and 2014 Iquique ($</w:t>
      </w:r>
      <w:proofErr w:type="spellStart"/>
      <w:r w:rsidR="00416025" w:rsidRPr="00416025">
        <w:rPr>
          <w:color w:val="156082" w:themeColor="accent1"/>
        </w:rPr>
        <w:t>M_w</w:t>
      </w:r>
      <w:proofErr w:type="spellEnd"/>
      <w:r w:rsidR="00416025" w:rsidRPr="00416025">
        <w:rPr>
          <w:color w:val="156082" w:themeColor="accent1"/>
        </w:rPr>
        <w:t>$ 8.1) earthquakes have revealed decadal-scale deformation transients and gradual accelerations of aseismic slip that preceded the mainshocks by years \</w:t>
      </w:r>
      <w:proofErr w:type="spellStart"/>
      <w:proofErr w:type="gramStart"/>
      <w:r w:rsidR="00416025" w:rsidRPr="00416025">
        <w:rPr>
          <w:color w:val="156082" w:themeColor="accent1"/>
        </w:rPr>
        <w:t>citep</w:t>
      </w:r>
      <w:proofErr w:type="spellEnd"/>
      <w:r w:rsidR="00416025" w:rsidRPr="00416025">
        <w:rPr>
          <w:color w:val="156082" w:themeColor="accent1"/>
        </w:rPr>
        <w:t>{</w:t>
      </w:r>
      <w:proofErr w:type="gramEnd"/>
      <w:r w:rsidR="00416025" w:rsidRPr="00416025">
        <w:rPr>
          <w:color w:val="156082" w:themeColor="accent1"/>
        </w:rPr>
        <w:t>Mavrommatis2014, Ruiz2014}.</w:t>
      </w:r>
      <w:r w:rsidR="00416025">
        <w:rPr>
          <w:color w:val="156082" w:themeColor="accent1"/>
        </w:rPr>
        <w:t xml:space="preserve"> </w:t>
      </w:r>
    </w:p>
    <w:p w14:paraId="6EB008F9" w14:textId="77777777" w:rsidR="001F16B2" w:rsidRDefault="00416025" w:rsidP="00DD17A6">
      <w:pPr>
        <w:spacing w:line="240" w:lineRule="auto"/>
        <w:rPr>
          <w:color w:val="156082" w:themeColor="accent1"/>
        </w:rPr>
      </w:pPr>
      <w:r w:rsidRPr="00416025">
        <w:rPr>
          <w:color w:val="156082" w:themeColor="accent1"/>
        </w:rPr>
        <w:t xml:space="preserve">These observations suggest that megathrust earthquakes may undergo a long </w:t>
      </w:r>
      <w:r>
        <w:rPr>
          <w:color w:val="156082" w:themeColor="accent1"/>
        </w:rPr>
        <w:t>“</w:t>
      </w:r>
      <w:r w:rsidRPr="00416025">
        <w:rPr>
          <w:color w:val="156082" w:themeColor="accent1"/>
        </w:rPr>
        <w:t>nucleation phase</w:t>
      </w:r>
      <w:r>
        <w:rPr>
          <w:color w:val="156082" w:themeColor="accent1"/>
        </w:rPr>
        <w:t>”.</w:t>
      </w:r>
      <w:r w:rsidRPr="00416025">
        <w:rPr>
          <w:color w:val="156082" w:themeColor="accent1"/>
        </w:rPr>
        <w:t xml:space="preserve"> </w:t>
      </w:r>
      <w:r>
        <w:rPr>
          <w:color w:val="156082" w:themeColor="accent1"/>
        </w:rPr>
        <w:t xml:space="preserve"> O</w:t>
      </w:r>
      <w:r w:rsidR="009329D7" w:rsidRPr="009329D7">
        <w:rPr>
          <w:color w:val="156082" w:themeColor="accent1"/>
        </w:rPr>
        <w:t>bserving these sub-</w:t>
      </w:r>
      <w:proofErr w:type="spellStart"/>
      <w:r w:rsidR="009329D7" w:rsidRPr="009329D7">
        <w:rPr>
          <w:color w:val="156082" w:themeColor="accent1"/>
        </w:rPr>
        <w:t>seismogenic</w:t>
      </w:r>
      <w:proofErr w:type="spellEnd"/>
      <w:r w:rsidR="009329D7" w:rsidRPr="009329D7">
        <w:rPr>
          <w:color w:val="156082" w:themeColor="accent1"/>
        </w:rPr>
        <w:t xml:space="preserve"> changes requires precise</w:t>
      </w:r>
      <w:r>
        <w:rPr>
          <w:color w:val="156082" w:themeColor="accent1"/>
        </w:rPr>
        <w:t xml:space="preserve"> and</w:t>
      </w:r>
      <w:r w:rsidR="009329D7" w:rsidRPr="009329D7">
        <w:rPr>
          <w:color w:val="156082" w:themeColor="accent1"/>
        </w:rPr>
        <w:t xml:space="preserve"> long-term monitoring that is often limited by</w:t>
      </w:r>
      <w:r w:rsidR="001F16B2">
        <w:rPr>
          <w:color w:val="156082" w:themeColor="accent1"/>
        </w:rPr>
        <w:t xml:space="preserve"> two main issues,</w:t>
      </w:r>
      <w:r w:rsidR="009329D7" w:rsidRPr="009329D7">
        <w:rPr>
          <w:color w:val="156082" w:themeColor="accent1"/>
        </w:rPr>
        <w:t xml:space="preserve"> current geodetic resolution (</w:t>
      </w:r>
      <w:proofErr w:type="spellStart"/>
      <w:r w:rsidR="009329D7" w:rsidRPr="009329D7">
        <w:rPr>
          <w:color w:val="156082" w:themeColor="accent1"/>
        </w:rPr>
        <w:t>Bürgmann</w:t>
      </w:r>
      <w:proofErr w:type="spellEnd"/>
      <w:r w:rsidR="009329D7" w:rsidRPr="009329D7">
        <w:rPr>
          <w:color w:val="156082" w:themeColor="accent1"/>
        </w:rPr>
        <w:t>, 2018; Schwartz &amp; Rokosky, 2007)</w:t>
      </w:r>
      <w:r w:rsidR="009329D7">
        <w:rPr>
          <w:color w:val="156082" w:themeColor="accent1"/>
        </w:rPr>
        <w:t xml:space="preserve"> as well as temporal coverage and resolution in the past</w:t>
      </w:r>
      <w:r w:rsidR="009329D7" w:rsidRPr="009329D7">
        <w:rPr>
          <w:color w:val="156082" w:themeColor="accent1"/>
        </w:rPr>
        <w:t xml:space="preserve">. </w:t>
      </w:r>
    </w:p>
    <w:p w14:paraId="122BE8D4" w14:textId="0A6563BD" w:rsidR="00416025" w:rsidRDefault="001F16B2" w:rsidP="00DD17A6">
      <w:pPr>
        <w:spacing w:line="240" w:lineRule="auto"/>
        <w:rPr>
          <w:color w:val="156082" w:themeColor="accent1"/>
        </w:rPr>
      </w:pPr>
      <w:r w:rsidRPr="001F16B2">
        <w:rPr>
          <w:color w:val="156082" w:themeColor="accent1"/>
        </w:rPr>
        <w:t xml:space="preserve">In </w:t>
      </w:r>
      <w:proofErr w:type="gramStart"/>
      <w:r w:rsidRPr="001F16B2">
        <w:rPr>
          <w:color w:val="156082" w:themeColor="accent1"/>
        </w:rPr>
        <w:t>the vast majority of</w:t>
      </w:r>
      <w:proofErr w:type="gramEnd"/>
      <w:r w:rsidRPr="001F16B2">
        <w:rPr>
          <w:color w:val="156082" w:themeColor="accent1"/>
        </w:rPr>
        <w:t xml:space="preserve"> global subduction zones, the trench axis lies $&gt;100$ km offshore \</w:t>
      </w:r>
      <w:proofErr w:type="spellStart"/>
      <w:proofErr w:type="gramStart"/>
      <w:r w:rsidRPr="001F16B2">
        <w:rPr>
          <w:color w:val="156082" w:themeColor="accent1"/>
        </w:rPr>
        <w:t>citep</w:t>
      </w:r>
      <w:proofErr w:type="spellEnd"/>
      <w:r w:rsidRPr="001F16B2">
        <w:rPr>
          <w:color w:val="156082" w:themeColor="accent1"/>
        </w:rPr>
        <w:t>{</w:t>
      </w:r>
      <w:proofErr w:type="gramEnd"/>
      <w:r w:rsidRPr="001F16B2">
        <w:rPr>
          <w:color w:val="156082" w:themeColor="accent1"/>
        </w:rPr>
        <w:t xml:space="preserve">Heuret2011}. Consequently, land-based GNSS networks are geometrically incapable of resolving shallow </w:t>
      </w:r>
      <w:proofErr w:type="spellStart"/>
      <w:r w:rsidRPr="001F16B2">
        <w:rPr>
          <w:color w:val="156082" w:themeColor="accent1"/>
        </w:rPr>
        <w:t>interseismic</w:t>
      </w:r>
      <w:proofErr w:type="spellEnd"/>
      <w:r w:rsidRPr="001F16B2">
        <w:rPr>
          <w:color w:val="156082" w:themeColor="accent1"/>
        </w:rPr>
        <w:t xml:space="preserve"> locking or differentiating subtle pre-seismic transients from noise due to signal attenuation \</w:t>
      </w:r>
      <w:proofErr w:type="spellStart"/>
      <w:proofErr w:type="gramStart"/>
      <w:r w:rsidRPr="001F16B2">
        <w:rPr>
          <w:color w:val="156082" w:themeColor="accent1"/>
        </w:rPr>
        <w:t>citep</w:t>
      </w:r>
      <w:proofErr w:type="spellEnd"/>
      <w:r w:rsidRPr="001F16B2">
        <w:rPr>
          <w:color w:val="156082" w:themeColor="accent1"/>
        </w:rPr>
        <w:t>{</w:t>
      </w:r>
      <w:proofErr w:type="gramEnd"/>
      <w:r w:rsidRPr="001F16B2">
        <w:rPr>
          <w:color w:val="156082" w:themeColor="accent1"/>
        </w:rPr>
        <w:t>Burgmann2014}. The researchers are currently attempting to monitor millimeter-scale deformation from hundreds of kilometers away. While seafloor geodesy offers a technological solution, it remains prohibitively expensive for global-scale, continuous monitoring. To validate the hypothesis that decadal transients are a common precursor to megathrust rupture, we must overcome this resolution limit through strategic geographic selection.</w:t>
      </w:r>
    </w:p>
    <w:p w14:paraId="5DF1CFC0" w14:textId="65FEA0D1" w:rsidR="00416025" w:rsidRDefault="001F16B2" w:rsidP="00DD17A6">
      <w:pPr>
        <w:spacing w:line="240" w:lineRule="auto"/>
        <w:rPr>
          <w:color w:val="156082" w:themeColor="accent1"/>
        </w:rPr>
      </w:pPr>
      <w:proofErr w:type="gramStart"/>
      <w:r>
        <w:rPr>
          <w:color w:val="156082" w:themeColor="accent1"/>
        </w:rPr>
        <w:t>On</w:t>
      </w:r>
      <w:proofErr w:type="gramEnd"/>
      <w:r>
        <w:rPr>
          <w:color w:val="156082" w:themeColor="accent1"/>
        </w:rPr>
        <w:t xml:space="preserve"> the temporal perspective the time series we currently have are limited by several decades. Especially in the remote regions where the geodetic infrastructure is recently </w:t>
      </w:r>
      <w:proofErr w:type="gramStart"/>
      <w:r>
        <w:rPr>
          <w:color w:val="156082" w:themeColor="accent1"/>
        </w:rPr>
        <w:t>installed</w:t>
      </w:r>
      <w:proofErr w:type="gramEnd"/>
      <w:r>
        <w:rPr>
          <w:color w:val="156082" w:themeColor="accent1"/>
        </w:rPr>
        <w:t xml:space="preserve"> the data length </w:t>
      </w:r>
      <w:proofErr w:type="gramStart"/>
      <w:r>
        <w:rPr>
          <w:color w:val="156082" w:themeColor="accent1"/>
        </w:rPr>
        <w:t>are</w:t>
      </w:r>
      <w:proofErr w:type="gramEnd"/>
      <w:r>
        <w:rPr>
          <w:color w:val="156082" w:themeColor="accent1"/>
        </w:rPr>
        <w:t xml:space="preserve"> limited in time. Spaceborne missions like InSAR are also limited in time and further </w:t>
      </w:r>
      <w:proofErr w:type="spellStart"/>
      <w:r>
        <w:rPr>
          <w:color w:val="156082" w:themeColor="accent1"/>
        </w:rPr>
        <w:t>tecnicallities</w:t>
      </w:r>
      <w:proofErr w:type="spellEnd"/>
      <w:r>
        <w:rPr>
          <w:color w:val="156082" w:themeColor="accent1"/>
        </w:rPr>
        <w:t xml:space="preserve"> depending on the region, like vegetation and </w:t>
      </w:r>
      <w:proofErr w:type="spellStart"/>
      <w:r>
        <w:rPr>
          <w:color w:val="156082" w:themeColor="accent1"/>
        </w:rPr>
        <w:t>athmospheric</w:t>
      </w:r>
      <w:proofErr w:type="spellEnd"/>
      <w:r>
        <w:rPr>
          <w:color w:val="156082" w:themeColor="accent1"/>
        </w:rPr>
        <w:t xml:space="preserve"> noise. </w:t>
      </w:r>
    </w:p>
    <w:p w14:paraId="45FB8923" w14:textId="398FD52C" w:rsidR="009329D7" w:rsidRDefault="009329D7" w:rsidP="00DD17A6">
      <w:pPr>
        <w:spacing w:line="240" w:lineRule="auto"/>
        <w:rPr>
          <w:color w:val="156082" w:themeColor="accent1"/>
        </w:rPr>
      </w:pPr>
      <w:r w:rsidRPr="009329D7">
        <w:rPr>
          <w:color w:val="156082" w:themeColor="accent1"/>
        </w:rPr>
        <w:lastRenderedPageBreak/>
        <w:t>Furthermore, the physical mechanisms driving these aseismic transients—such as elevated pore-fluid pressures or frictional heterogeneities—remain a subject of intense investigation and represent one of the most critical "missing pieces" in our understanding of the earthquake cycle (Saffer &amp; Wallace, 2015; Obara &amp; Kato, 2016).</w:t>
      </w:r>
    </w:p>
    <w:p w14:paraId="085D83C1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proofErr w:type="spellStart"/>
      <w:r w:rsidRPr="009329D7">
        <w:rPr>
          <w:sz w:val="20"/>
          <w:szCs w:val="20"/>
        </w:rPr>
        <w:t>Avouac</w:t>
      </w:r>
      <w:proofErr w:type="spellEnd"/>
      <w:r w:rsidRPr="009329D7">
        <w:rPr>
          <w:sz w:val="20"/>
          <w:szCs w:val="20"/>
        </w:rPr>
        <w:t>, J.-P. (2015). From Geodetic Imaging of Seismic and Aseismic Fault Slip to Dynamic Modeling of the Seismic Cycle. Annual Review of Earth and Planetary Sciences, 43, 233-271.</w:t>
      </w:r>
    </w:p>
    <w:p w14:paraId="06943B8A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7FBCC7FD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proofErr w:type="spellStart"/>
      <w:r w:rsidRPr="009329D7">
        <w:rPr>
          <w:sz w:val="20"/>
          <w:szCs w:val="20"/>
        </w:rPr>
        <w:t>Bürgmann</w:t>
      </w:r>
      <w:proofErr w:type="spellEnd"/>
      <w:r w:rsidRPr="009329D7">
        <w:rPr>
          <w:sz w:val="20"/>
          <w:szCs w:val="20"/>
        </w:rPr>
        <w:t xml:space="preserve">, R. (2018). </w:t>
      </w:r>
      <w:proofErr w:type="gramStart"/>
      <w:r w:rsidRPr="009329D7">
        <w:rPr>
          <w:sz w:val="20"/>
          <w:szCs w:val="20"/>
        </w:rPr>
        <w:t>The geophysics</w:t>
      </w:r>
      <w:proofErr w:type="gramEnd"/>
      <w:r w:rsidRPr="009329D7">
        <w:rPr>
          <w:sz w:val="20"/>
          <w:szCs w:val="20"/>
        </w:rPr>
        <w:t>, geology and mechanics of slow fault slip. Earth and Planetary Science Letters, 495, 112-134.</w:t>
      </w:r>
    </w:p>
    <w:p w14:paraId="08513138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2DD9F202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r w:rsidRPr="009329D7">
        <w:rPr>
          <w:sz w:val="20"/>
          <w:szCs w:val="20"/>
        </w:rPr>
        <w:t>Kanamori, H., &amp; Brodsky, E. E. (2004). The physics of earthquakes. Reports on Progress in Physics, 67(8), 1429.</w:t>
      </w:r>
    </w:p>
    <w:p w14:paraId="1D260734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56EF0C83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r w:rsidRPr="009329D7">
        <w:rPr>
          <w:sz w:val="20"/>
          <w:szCs w:val="20"/>
        </w:rPr>
        <w:t xml:space="preserve">Liu, X., et al. (2024). Refined </w:t>
      </w:r>
      <w:proofErr w:type="spellStart"/>
      <w:r w:rsidRPr="009329D7">
        <w:rPr>
          <w:sz w:val="20"/>
          <w:szCs w:val="20"/>
        </w:rPr>
        <w:t>Coseismic</w:t>
      </w:r>
      <w:proofErr w:type="spellEnd"/>
      <w:r w:rsidRPr="009329D7">
        <w:rPr>
          <w:sz w:val="20"/>
          <w:szCs w:val="20"/>
        </w:rPr>
        <w:t xml:space="preserve"> Slip Model and Surface Deformation of the 2021 Maduo Earthquake. Remote Sensing, 16(4), 713.</w:t>
      </w:r>
    </w:p>
    <w:p w14:paraId="2BBFE764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7C1CAD15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r w:rsidRPr="009329D7">
        <w:rPr>
          <w:sz w:val="20"/>
          <w:szCs w:val="20"/>
        </w:rPr>
        <w:t>Mai, P. M., &amp; Beroza, G. C. (2002). A spatial random field model to characterize complexity in earthquake slip. Journal of Geophysical Research: Solid Earth, 107(B11).</w:t>
      </w:r>
    </w:p>
    <w:p w14:paraId="732902F3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07631C17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r w:rsidRPr="009329D7">
        <w:rPr>
          <w:sz w:val="20"/>
          <w:szCs w:val="20"/>
        </w:rPr>
        <w:t>Obara, K., &amp; Kato, A. (2016). Connecting slow earthquakes to huge earthquakes. Science, 353(6296), 253-257.</w:t>
      </w:r>
    </w:p>
    <w:p w14:paraId="003962EB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34948C91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  <w:r w:rsidRPr="009329D7">
        <w:rPr>
          <w:sz w:val="20"/>
          <w:szCs w:val="20"/>
        </w:rPr>
        <w:t>Saffer, D. M., &amp; Wallace, L. M. (2015). The role of fluids in slow slip events and aseismic fault creep in subduction zones. Nature Geoscience, 8(11), 836-844.</w:t>
      </w:r>
    </w:p>
    <w:p w14:paraId="41E15D2F" w14:textId="77777777" w:rsidR="009329D7" w:rsidRPr="009329D7" w:rsidRDefault="009329D7" w:rsidP="009329D7">
      <w:pPr>
        <w:spacing w:line="240" w:lineRule="auto"/>
        <w:rPr>
          <w:sz w:val="20"/>
          <w:szCs w:val="20"/>
        </w:rPr>
      </w:pPr>
    </w:p>
    <w:p w14:paraId="6AE298FB" w14:textId="7DC0B960" w:rsidR="00DD17A6" w:rsidRDefault="009329D7" w:rsidP="009329D7">
      <w:pPr>
        <w:spacing w:line="240" w:lineRule="auto"/>
        <w:rPr>
          <w:sz w:val="20"/>
          <w:szCs w:val="20"/>
        </w:rPr>
      </w:pPr>
      <w:r w:rsidRPr="009329D7">
        <w:rPr>
          <w:sz w:val="20"/>
          <w:szCs w:val="20"/>
          <w:lang w:val="de-DE"/>
        </w:rPr>
        <w:t xml:space="preserve">Schwartz, S. Y., &amp; Rokosky, J. M. (2007). </w:t>
      </w:r>
      <w:r w:rsidRPr="009329D7">
        <w:rPr>
          <w:sz w:val="20"/>
          <w:szCs w:val="20"/>
        </w:rPr>
        <w:t xml:space="preserve">Slow slip events and seismic </w:t>
      </w:r>
      <w:proofErr w:type="gramStart"/>
      <w:r w:rsidRPr="009329D7">
        <w:rPr>
          <w:sz w:val="20"/>
          <w:szCs w:val="20"/>
        </w:rPr>
        <w:t>tremor</w:t>
      </w:r>
      <w:proofErr w:type="gramEnd"/>
      <w:r w:rsidRPr="009329D7">
        <w:rPr>
          <w:sz w:val="20"/>
          <w:szCs w:val="20"/>
        </w:rPr>
        <w:t xml:space="preserve"> at circum-Pacific subduction zones. Reviews of Geophysics, 45(3).</w:t>
      </w:r>
    </w:p>
    <w:p w14:paraId="1D9AAC8A" w14:textId="758D4E74" w:rsidR="00DD17A6" w:rsidRPr="00DD17A6" w:rsidRDefault="00DD17A6" w:rsidP="00DD17A6">
      <w:pPr>
        <w:spacing w:line="240" w:lineRule="auto"/>
        <w:rPr>
          <w:sz w:val="20"/>
          <w:szCs w:val="20"/>
        </w:rPr>
      </w:pPr>
    </w:p>
    <w:p w14:paraId="21C597C7" w14:textId="062D6B75" w:rsidR="00416025" w:rsidRPr="00416025" w:rsidRDefault="00416025">
      <w:pPr>
        <w:rPr>
          <w:b/>
          <w:bCs/>
        </w:rPr>
      </w:pPr>
      <w:r>
        <w:t xml:space="preserve">Another significant </w:t>
      </w:r>
      <w:proofErr w:type="gramStart"/>
      <w:r>
        <w:t>issue</w:t>
      </w:r>
      <w:proofErr w:type="gramEnd"/>
      <w:r>
        <w:t xml:space="preserve"> especially in megathrust </w:t>
      </w:r>
      <w:proofErr w:type="gramStart"/>
      <w:r>
        <w:t>earthquakes</w:t>
      </w:r>
      <w:proofErr w:type="gramEnd"/>
      <w:r>
        <w:t xml:space="preserve"> is t</w:t>
      </w:r>
      <w:r w:rsidRPr="00416025">
        <w:t xml:space="preserve">hese observations suggest that megathrust earthquakes may undergo a long ``nucleation </w:t>
      </w:r>
      <w:proofErr w:type="gramStart"/>
      <w:r w:rsidRPr="00416025">
        <w:t>phase.'</w:t>
      </w:r>
      <w:proofErr w:type="gramEnd"/>
      <w:r w:rsidRPr="00416025">
        <w:t xml:space="preserve">' However, detecting these signals in real-time remains difficult to observe due to a fundamental geometric limitation. In </w:t>
      </w:r>
      <w:proofErr w:type="gramStart"/>
      <w:r w:rsidRPr="00416025">
        <w:t>the vast majority of</w:t>
      </w:r>
      <w:proofErr w:type="gramEnd"/>
      <w:r w:rsidRPr="00416025">
        <w:t xml:space="preserve"> global subduction zones, the trench axis lies $&gt;100$ km offshore \</w:t>
      </w:r>
      <w:proofErr w:type="spellStart"/>
      <w:proofErr w:type="gramStart"/>
      <w:r w:rsidRPr="00416025">
        <w:t>citep</w:t>
      </w:r>
      <w:proofErr w:type="spellEnd"/>
      <w:r w:rsidRPr="00416025">
        <w:t>{</w:t>
      </w:r>
      <w:proofErr w:type="gramEnd"/>
      <w:r w:rsidRPr="00416025">
        <w:t xml:space="preserve">Heuret2011}. Consequently, land-based GNSS networks are geometrically incapable of resolving shallow </w:t>
      </w:r>
      <w:proofErr w:type="spellStart"/>
      <w:r w:rsidRPr="00416025">
        <w:t>interseismic</w:t>
      </w:r>
      <w:proofErr w:type="spellEnd"/>
      <w:r w:rsidRPr="00416025">
        <w:t xml:space="preserve"> locking or differentiating subtle pre-seismic transients from noise due to signal attenuation \</w:t>
      </w:r>
      <w:proofErr w:type="spellStart"/>
      <w:proofErr w:type="gramStart"/>
      <w:r w:rsidRPr="00416025">
        <w:t>citep</w:t>
      </w:r>
      <w:proofErr w:type="spellEnd"/>
      <w:r w:rsidRPr="00416025">
        <w:t>{</w:t>
      </w:r>
      <w:proofErr w:type="gramEnd"/>
      <w:r w:rsidRPr="00416025">
        <w:t xml:space="preserve">Burgmann2014}. The researchers are currently attempting to monitor millimeter-scale deformation from hundreds of kilometers away. While seafloor geodesy offers a technological solution, it </w:t>
      </w:r>
      <w:r w:rsidRPr="00416025">
        <w:lastRenderedPageBreak/>
        <w:t>remains prohibitively expensive for global-scale, continuous monitoring. To validate the hypothesis that decadal transients are a common precursor to megathrust rupture, we must overcome this resolution limit through strategic geographic selection.</w:t>
      </w:r>
    </w:p>
    <w:p w14:paraId="586C068E" w14:textId="77777777" w:rsidR="00416025" w:rsidRDefault="00416025"/>
    <w:p w14:paraId="076EC4EE" w14:textId="345C6A6F" w:rsidR="00FA6CE5" w:rsidRDefault="00FA6CE5">
      <w:r>
        <w:t xml:space="preserve">Covering the tectonic time scales at </w:t>
      </w:r>
      <w:r w:rsidR="00416025">
        <w:t>deci</w:t>
      </w:r>
      <w:r>
        <w:t>meter</w:t>
      </w:r>
      <w:r w:rsidR="00416025">
        <w:t>s of</w:t>
      </w:r>
      <w:r w:rsidR="009329D7">
        <w:t xml:space="preserve"> vertical</w:t>
      </w:r>
      <w:r>
        <w:t xml:space="preserve"> precision </w:t>
      </w:r>
      <w:r w:rsidR="00EF795B">
        <w:t xml:space="preserve">is an unachievable task with modern tools developed and distributed in the last three decades. </w:t>
      </w:r>
    </w:p>
    <w:sectPr w:rsidR="00FA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69"/>
    <w:rsid w:val="000B7329"/>
    <w:rsid w:val="001F16B2"/>
    <w:rsid w:val="00214B69"/>
    <w:rsid w:val="00416025"/>
    <w:rsid w:val="009329D7"/>
    <w:rsid w:val="00DD17A6"/>
    <w:rsid w:val="00DF709F"/>
    <w:rsid w:val="00EF795B"/>
    <w:rsid w:val="00F07596"/>
    <w:rsid w:val="00F17F84"/>
    <w:rsid w:val="00FA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F6FD"/>
  <w15:chartTrackingRefBased/>
  <w15:docId w15:val="{A94E3FAA-AA38-4D44-844A-98360655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791</Words>
  <Characters>5010</Characters>
  <Application>Microsoft Office Word</Application>
  <DocSecurity>0</DocSecurity>
  <Lines>68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Karaesmen, Mehmet E</dc:creator>
  <cp:keywords/>
  <dc:description/>
  <cp:lastModifiedBy>Karaesmen, Mehmet E</cp:lastModifiedBy>
  <cp:revision>2</cp:revision>
  <dcterms:created xsi:type="dcterms:W3CDTF">2026-03-26T18:10:00Z</dcterms:created>
  <dcterms:modified xsi:type="dcterms:W3CDTF">2026-03-28T20:36:00Z</dcterms:modified>
</cp:coreProperties>
</file>