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422A" w14:textId="4D5E732C" w:rsidR="00D56017" w:rsidRDefault="00D56017" w:rsidP="00D56017">
      <w:pPr>
        <w:spacing w:line="240" w:lineRule="auto"/>
        <w:rPr>
          <w:color w:val="156082" w:themeColor="accent1"/>
        </w:rPr>
      </w:pPr>
      <w:r w:rsidRPr="000B7329">
        <w:rPr>
          <w:color w:val="156082" w:themeColor="accent1"/>
        </w:rPr>
        <w:t>Understanding the earthquake cycle in its entirety is fundamental to decoding the physics of faulting and improving seismic hazard assessments (</w:t>
      </w:r>
      <w:proofErr w:type="spellStart"/>
      <w:r w:rsidRPr="000B7329">
        <w:rPr>
          <w:color w:val="156082" w:themeColor="accent1"/>
        </w:rPr>
        <w:t>Avouac</w:t>
      </w:r>
      <w:proofErr w:type="spellEnd"/>
      <w:r w:rsidRPr="000B7329">
        <w:rPr>
          <w:color w:val="156082" w:themeColor="accent1"/>
        </w:rPr>
        <w:t xml:space="preserve">, 2015; Wang, 2024). Within this cycle, the </w:t>
      </w:r>
      <w:proofErr w:type="spellStart"/>
      <w:r w:rsidRPr="000B7329">
        <w:rPr>
          <w:color w:val="156082" w:themeColor="accent1"/>
        </w:rPr>
        <w:t>coseismic</w:t>
      </w:r>
      <w:proofErr w:type="spellEnd"/>
      <w:r w:rsidRPr="000B7329">
        <w:rPr>
          <w:color w:val="156082" w:themeColor="accent1"/>
        </w:rPr>
        <w:t xml:space="preserve"> phase is the </w:t>
      </w:r>
      <w:r>
        <w:rPr>
          <w:color w:val="156082" w:themeColor="accent1"/>
        </w:rPr>
        <w:t>more</w:t>
      </w:r>
      <w:r w:rsidRPr="000B7329">
        <w:rPr>
          <w:color w:val="156082" w:themeColor="accent1"/>
        </w:rPr>
        <w:t xml:space="preserve"> extensively documented</w:t>
      </w:r>
      <w:r>
        <w:rPr>
          <w:color w:val="156082" w:themeColor="accent1"/>
        </w:rPr>
        <w:t xml:space="preserve"> part of the puzzle. H</w:t>
      </w:r>
      <w:r w:rsidRPr="000B7329">
        <w:rPr>
          <w:color w:val="156082" w:themeColor="accent1"/>
        </w:rPr>
        <w:t xml:space="preserve">igh-resolution geodetic and seismological data allow for the creation of sophisticated finite-fault models that characterize slip distribution and rupture complexity with high </w:t>
      </w:r>
      <w:r>
        <w:rPr>
          <w:color w:val="156082" w:themeColor="accent1"/>
        </w:rPr>
        <w:t>accuracy</w:t>
      </w:r>
      <w:r w:rsidRPr="000B7329">
        <w:rPr>
          <w:color w:val="156082" w:themeColor="accent1"/>
        </w:rPr>
        <w:t xml:space="preserve"> (Mai &amp; Beroza, 2002; Liu et al., 2024). These models provide a physics-based </w:t>
      </w:r>
      <w:r>
        <w:rPr>
          <w:color w:val="156082" w:themeColor="accent1"/>
        </w:rPr>
        <w:t>perspective</w:t>
      </w:r>
      <w:r w:rsidRPr="000B7329">
        <w:rPr>
          <w:color w:val="156082" w:themeColor="accent1"/>
        </w:rPr>
        <w:t xml:space="preserve"> into how energy is partitioned between radiation and fracture during a rupture (Kanamori &amp; Brodsky, 2004)</w:t>
      </w:r>
      <w:r>
        <w:rPr>
          <w:color w:val="156082" w:themeColor="accent1"/>
        </w:rPr>
        <w:t xml:space="preserve"> </w:t>
      </w:r>
      <w:r w:rsidRPr="00D56017">
        <w:rPr>
          <w:color w:val="156082" w:themeColor="accent1"/>
        </w:rPr>
        <w:t xml:space="preserve">By characterizing the initial stress state and the distribution of rock properties, the evolution of a rupture can be treated as a deterministic process constrained by the governing laws of friction and </w:t>
      </w:r>
      <w:proofErr w:type="spellStart"/>
      <w:r w:rsidRPr="00D56017">
        <w:rPr>
          <w:color w:val="156082" w:themeColor="accent1"/>
        </w:rPr>
        <w:t>elastodynamics</w:t>
      </w:r>
      <w:proofErr w:type="spellEnd"/>
      <w:r w:rsidRPr="00D56017">
        <w:rPr>
          <w:color w:val="156082" w:themeColor="accent1"/>
        </w:rPr>
        <w:t>.</w:t>
      </w:r>
    </w:p>
    <w:p w14:paraId="39FD1D73" w14:textId="639C6441" w:rsidR="00D56017" w:rsidRDefault="00D56017" w:rsidP="00D56017">
      <w:pPr>
        <w:spacing w:line="240" w:lineRule="auto"/>
        <w:rPr>
          <w:color w:val="156082" w:themeColor="accent1"/>
        </w:rPr>
      </w:pPr>
      <w:r w:rsidRPr="000B7329">
        <w:rPr>
          <w:color w:val="156082" w:themeColor="accent1"/>
        </w:rPr>
        <w:t xml:space="preserve">In contrast, </w:t>
      </w:r>
      <w:proofErr w:type="spellStart"/>
      <w:r w:rsidRPr="000B7329">
        <w:rPr>
          <w:color w:val="156082" w:themeColor="accent1"/>
        </w:rPr>
        <w:t>interseismic</w:t>
      </w:r>
      <w:proofErr w:type="spellEnd"/>
      <w:r w:rsidRPr="000B7329">
        <w:rPr>
          <w:color w:val="156082" w:themeColor="accent1"/>
        </w:rPr>
        <w:t xml:space="preserve"> and aseismic processes remain significantly more enigmatic. While it is now recognized that faults exhibit a "spectrum of slip" ranging from steady creep to episodic Slow Slip Events (SSEs) and "silent earthquakes," recent findings have challenged our understanding of the preparatory phase of great ruptures</w:t>
      </w:r>
      <w:r>
        <w:rPr>
          <w:color w:val="156082" w:themeColor="accent1"/>
        </w:rPr>
        <w:t xml:space="preserve"> (</w:t>
      </w:r>
      <w:r w:rsidRPr="00D56017">
        <w:rPr>
          <w:color w:val="156082" w:themeColor="accent1"/>
        </w:rPr>
        <w:t>Peng and Gomberg 2010</w:t>
      </w:r>
      <w:r>
        <w:rPr>
          <w:color w:val="156082" w:themeColor="accent1"/>
        </w:rPr>
        <w:t>)</w:t>
      </w:r>
      <w:r w:rsidRPr="000B7329">
        <w:rPr>
          <w:color w:val="156082" w:themeColor="accent1"/>
        </w:rPr>
        <w:t>. Specifically, retrospective analyses of the 2011 Tohoku-Oki ($</w:t>
      </w:r>
      <w:proofErr w:type="spellStart"/>
      <w:r w:rsidRPr="000B7329">
        <w:rPr>
          <w:color w:val="156082" w:themeColor="accent1"/>
        </w:rPr>
        <w:t>M_w</w:t>
      </w:r>
      <w:proofErr w:type="spellEnd"/>
      <w:r w:rsidRPr="000B7329">
        <w:rPr>
          <w:color w:val="156082" w:themeColor="accent1"/>
        </w:rPr>
        <w:t>$ 9.0) and 2014 Iquique ($</w:t>
      </w:r>
      <w:proofErr w:type="spellStart"/>
      <w:r w:rsidRPr="000B7329">
        <w:rPr>
          <w:color w:val="156082" w:themeColor="accent1"/>
        </w:rPr>
        <w:t>M_w</w:t>
      </w:r>
      <w:proofErr w:type="spellEnd"/>
      <w:r w:rsidRPr="000B7329">
        <w:rPr>
          <w:color w:val="156082" w:themeColor="accent1"/>
        </w:rPr>
        <w:t>$ 8.1) earthquakes revealed decadal-scale deformation transients and gradual accelerations of aseismic slip that preceded the mainshocks by years (Mavrommatis et al., 2014; Ruiz et al., 2014). These observations suggest that megathrust earthquakes may undergo a protracted "nucleation phase," offering a potential window into the timing of catastrophic failure.</w:t>
      </w:r>
    </w:p>
    <w:p w14:paraId="3E5F9699" w14:textId="01179110" w:rsidR="00D56017" w:rsidRDefault="00D56017" w:rsidP="00D56017">
      <w:pPr>
        <w:spacing w:line="240" w:lineRule="auto"/>
        <w:rPr>
          <w:color w:val="156082" w:themeColor="accent1"/>
        </w:rPr>
      </w:pPr>
      <w:r w:rsidRPr="000B7329">
        <w:rPr>
          <w:color w:val="156082" w:themeColor="accent1"/>
        </w:rPr>
        <w:t>However, capturing these sub-</w:t>
      </w:r>
      <w:proofErr w:type="spellStart"/>
      <w:r w:rsidRPr="000B7329">
        <w:rPr>
          <w:color w:val="156082" w:themeColor="accent1"/>
        </w:rPr>
        <w:t>seismogenic</w:t>
      </w:r>
      <w:proofErr w:type="spellEnd"/>
      <w:r w:rsidRPr="000B7329">
        <w:rPr>
          <w:color w:val="156082" w:themeColor="accent1"/>
        </w:rPr>
        <w:t xml:space="preserve"> changes requires precise, long-term monitoring that is currently hindered by two primary constraints: geodetic resolution and temporal coverage (</w:t>
      </w:r>
      <w:proofErr w:type="spellStart"/>
      <w:r w:rsidRPr="000B7329">
        <w:rPr>
          <w:color w:val="156082" w:themeColor="accent1"/>
        </w:rPr>
        <w:t>Bürgmann</w:t>
      </w:r>
      <w:proofErr w:type="spellEnd"/>
      <w:r w:rsidRPr="000B7329">
        <w:rPr>
          <w:color w:val="156082" w:themeColor="accent1"/>
        </w:rPr>
        <w:t xml:space="preserve">, 2018; Schwartz &amp; Rokosky, 2007). In </w:t>
      </w:r>
      <w:proofErr w:type="gramStart"/>
      <w:r w:rsidRPr="000B7329">
        <w:rPr>
          <w:color w:val="156082" w:themeColor="accent1"/>
        </w:rPr>
        <w:t>the vast majority of</w:t>
      </w:r>
      <w:proofErr w:type="gramEnd"/>
      <w:r w:rsidRPr="000B7329">
        <w:rPr>
          <w:color w:val="156082" w:themeColor="accent1"/>
        </w:rPr>
        <w:t xml:space="preserve"> global subduction zones, the trench axis</w:t>
      </w:r>
      <w:r w:rsidR="00E851C3">
        <w:rPr>
          <w:color w:val="156082" w:themeColor="accent1"/>
        </w:rPr>
        <w:t xml:space="preserve">, </w:t>
      </w:r>
      <w:r w:rsidRPr="000B7329">
        <w:rPr>
          <w:color w:val="156082" w:themeColor="accent1"/>
        </w:rPr>
        <w:t>where the most critical locking occurs</w:t>
      </w:r>
      <w:r w:rsidR="00E851C3">
        <w:rPr>
          <w:color w:val="156082" w:themeColor="accent1"/>
        </w:rPr>
        <w:t xml:space="preserve">, </w:t>
      </w:r>
      <w:r w:rsidRPr="000B7329">
        <w:rPr>
          <w:color w:val="156082" w:themeColor="accent1"/>
        </w:rPr>
        <w:t>lies more than 100 km offshore</w:t>
      </w:r>
      <w:r w:rsidR="00E851C3">
        <w:rPr>
          <w:color w:val="156082" w:themeColor="accent1"/>
        </w:rPr>
        <w:t xml:space="preserve"> </w:t>
      </w:r>
      <w:proofErr w:type="gramStart"/>
      <w:r w:rsidR="00E851C3">
        <w:rPr>
          <w:color w:val="156082" w:themeColor="accent1"/>
        </w:rPr>
        <w:t>in</w:t>
      </w:r>
      <w:proofErr w:type="gramEnd"/>
      <w:r w:rsidR="00E851C3">
        <w:rPr>
          <w:color w:val="156082" w:themeColor="accent1"/>
        </w:rPr>
        <w:t xml:space="preserve"> average</w:t>
      </w:r>
      <w:r w:rsidRPr="000B7329">
        <w:rPr>
          <w:color w:val="156082" w:themeColor="accent1"/>
        </w:rPr>
        <w:t xml:space="preserve"> (</w:t>
      </w:r>
      <w:proofErr w:type="spellStart"/>
      <w:r w:rsidRPr="000B7329">
        <w:rPr>
          <w:color w:val="156082" w:themeColor="accent1"/>
        </w:rPr>
        <w:t>Heuret</w:t>
      </w:r>
      <w:proofErr w:type="spellEnd"/>
      <w:r w:rsidRPr="000B7329">
        <w:rPr>
          <w:color w:val="156082" w:themeColor="accent1"/>
        </w:rPr>
        <w:t xml:space="preserve"> et al., 2011). Consequently, land-based GNSS networks are geometrically limited in their ability to resolve shallow </w:t>
      </w:r>
      <w:proofErr w:type="spellStart"/>
      <w:r w:rsidRPr="000B7329">
        <w:rPr>
          <w:color w:val="156082" w:themeColor="accent1"/>
        </w:rPr>
        <w:t>interseismic</w:t>
      </w:r>
      <w:proofErr w:type="spellEnd"/>
      <w:r w:rsidRPr="000B7329">
        <w:rPr>
          <w:color w:val="156082" w:themeColor="accent1"/>
        </w:rPr>
        <w:t xml:space="preserve"> locking or differentiate subtle pre-seismic transients from noise due to signal attenuation (</w:t>
      </w:r>
      <w:proofErr w:type="spellStart"/>
      <w:r w:rsidRPr="000B7329">
        <w:rPr>
          <w:color w:val="156082" w:themeColor="accent1"/>
        </w:rPr>
        <w:t>Bürgmann</w:t>
      </w:r>
      <w:proofErr w:type="spellEnd"/>
      <w:r w:rsidRPr="000B7329">
        <w:rPr>
          <w:color w:val="156082" w:themeColor="accent1"/>
        </w:rPr>
        <w:t xml:space="preserve"> &amp; Chadwell, 2014). Researchers are effectively tasked with monitoring millimeter-scale deformation from hundreds of kilometers away. While seafloor geodesy (GNSS-A) offers a technological solution, it remains prohibitively expensive for global-scale, continuous monitoring.</w:t>
      </w:r>
    </w:p>
    <w:p w14:paraId="200E1D15" w14:textId="77777777" w:rsidR="00E851C3" w:rsidRDefault="00D56017" w:rsidP="00D56017">
      <w:pPr>
        <w:spacing w:line="240" w:lineRule="auto"/>
        <w:rPr>
          <w:color w:val="156082" w:themeColor="accent1"/>
        </w:rPr>
      </w:pPr>
      <w:r w:rsidRPr="000B7329">
        <w:rPr>
          <w:color w:val="156082" w:themeColor="accent1"/>
        </w:rPr>
        <w:t xml:space="preserve">Furthermore, the temporal depth of our geodetic records is critically shallow. In many remote regions, geodetic infrastructure was only recently established, resulting in time series that represent a mere snapshot of a centuries-long cycle. Spaceborne missions like InSAR provide broader coverage but are similarly limited by mission duration and environmental noise—such as dense vegetation and atmospheric delays—which mask the subtle signals of </w:t>
      </w:r>
      <w:proofErr w:type="spellStart"/>
      <w:r w:rsidRPr="000B7329">
        <w:rPr>
          <w:color w:val="156082" w:themeColor="accent1"/>
        </w:rPr>
        <w:t>interseismic</w:t>
      </w:r>
      <w:proofErr w:type="spellEnd"/>
      <w:r w:rsidRPr="000B7329">
        <w:rPr>
          <w:color w:val="156082" w:themeColor="accent1"/>
        </w:rPr>
        <w:t xml:space="preserve"> loading. To validate the hypothesis that decadal transients are a common precursor to megathrust rupture, we must overcome these resolution limits through strategic geographic selection where the fault geometry and observational conditions are optimized.</w:t>
      </w:r>
    </w:p>
    <w:p w14:paraId="043FCB06" w14:textId="77777777" w:rsidR="00E851C3" w:rsidRDefault="00E851C3" w:rsidP="00D56017">
      <w:pPr>
        <w:spacing w:line="240" w:lineRule="auto"/>
        <w:rPr>
          <w:color w:val="156082" w:themeColor="accent1"/>
        </w:rPr>
      </w:pPr>
    </w:p>
    <w:p w14:paraId="4198CF3E" w14:textId="77777777" w:rsidR="001D39EE" w:rsidRPr="001D39EE" w:rsidRDefault="001D39EE" w:rsidP="001D39EE">
      <w:pPr>
        <w:spacing w:line="240" w:lineRule="auto"/>
        <w:rPr>
          <w:color w:val="FFC000"/>
        </w:rPr>
      </w:pPr>
      <w:r w:rsidRPr="001D39EE">
        <w:rPr>
          <w:color w:val="FFC000"/>
        </w:rPr>
        <w:lastRenderedPageBreak/>
        <w:t>Furthermore, the physical mechanisms driving these aseismic transients—such as elevated pore-fluid pressures or frictional heterogeneities—remain a subject of intense investigation and represent one of the most critical "missing pieces" in our understanding of the earthquake cycle (Saffer &amp; Wallace, 2015; Obara &amp; Kato, 2016).</w:t>
      </w:r>
    </w:p>
    <w:p w14:paraId="5BBCE05C" w14:textId="06A0A6D1" w:rsidR="00461E77" w:rsidRPr="00461E77" w:rsidRDefault="00461E77" w:rsidP="00705B19">
      <w:pPr>
        <w:spacing w:line="240" w:lineRule="auto"/>
        <w:rPr>
          <w:color w:val="156082" w:themeColor="accent1"/>
        </w:rPr>
      </w:pPr>
      <w:r w:rsidRPr="00461E77">
        <w:rPr>
          <w:color w:val="156082" w:themeColor="accent1"/>
        </w:rPr>
        <w:t xml:space="preserve">Measuring coral microatoll growth is a key method addressing </w:t>
      </w:r>
      <w:r>
        <w:t>many of the problems stated above.</w:t>
      </w:r>
      <w:r w:rsidRPr="00461E77">
        <w:rPr>
          <w:color w:val="156082" w:themeColor="accent1"/>
        </w:rPr>
        <w:t xml:space="preserve"> This </w:t>
      </w:r>
      <w:r>
        <w:rPr>
          <w:color w:val="156082" w:themeColor="accent1"/>
        </w:rPr>
        <w:t>method</w:t>
      </w:r>
      <w:r w:rsidRPr="00461E77">
        <w:rPr>
          <w:color w:val="156082" w:themeColor="accent1"/>
        </w:rPr>
        <w:t xml:space="preserve"> provides long, continuous records of vertical tectonic motion with centimeter-scale precision and annual-level temporal resolution. While their role as sea-level recorders was first recognized by </w:t>
      </w:r>
      <w:proofErr w:type="spellStart"/>
      <w:r w:rsidRPr="00461E77">
        <w:rPr>
          <w:b/>
          <w:bCs/>
          <w:color w:val="156082" w:themeColor="accent1"/>
        </w:rPr>
        <w:t>Scoffin</w:t>
      </w:r>
      <w:proofErr w:type="spellEnd"/>
      <w:r w:rsidRPr="00461E77">
        <w:rPr>
          <w:b/>
          <w:bCs/>
          <w:color w:val="156082" w:themeColor="accent1"/>
        </w:rPr>
        <w:t xml:space="preserve"> and Stoddart (1978)</w:t>
      </w:r>
      <w:r w:rsidRPr="00461E77">
        <w:rPr>
          <w:color w:val="156082" w:themeColor="accent1"/>
        </w:rPr>
        <w:t>, microatolls have since been utilized in climate research to reconstruct past ENSO variability (</w:t>
      </w:r>
      <w:r w:rsidRPr="00461E77">
        <w:rPr>
          <w:b/>
          <w:bCs/>
          <w:color w:val="156082" w:themeColor="accent1"/>
        </w:rPr>
        <w:t>Tudhope et al., 2001; Cobb et al., 2003</w:t>
      </w:r>
      <w:r w:rsidRPr="00461E77">
        <w:rPr>
          <w:color w:val="156082" w:themeColor="accent1"/>
        </w:rPr>
        <w:t>) and in oceanographic studies to track Holocene sea-level trends (</w:t>
      </w:r>
      <w:r w:rsidRPr="00461E77">
        <w:rPr>
          <w:b/>
          <w:bCs/>
          <w:color w:val="156082" w:themeColor="accent1"/>
        </w:rPr>
        <w:t>Woodroffe &amp; McLean, 1990; Smithers &amp; Woodroffe, 2000</w:t>
      </w:r>
      <w:r w:rsidRPr="00461E77">
        <w:rPr>
          <w:color w:val="156082" w:themeColor="accent1"/>
        </w:rPr>
        <w:t>). Additionally, they have been applied in tectonic studies to extend geodetic records and document deformation patterns over multiple earthquake cycles (</w:t>
      </w:r>
      <w:r w:rsidRPr="00461E77">
        <w:rPr>
          <w:b/>
          <w:bCs/>
          <w:color w:val="156082" w:themeColor="accent1"/>
        </w:rPr>
        <w:t>Sieh et al., 2008; Meltzner et al., 2010</w:t>
      </w:r>
      <w:r w:rsidRPr="00461E77">
        <w:rPr>
          <w:color w:val="156082" w:themeColor="accent1"/>
        </w:rPr>
        <w:t>).</w:t>
      </w:r>
    </w:p>
    <w:p w14:paraId="626D2AB7" w14:textId="4C13B241" w:rsidR="008112C1" w:rsidRDefault="00825732" w:rsidP="00D56017">
      <w:pPr>
        <w:spacing w:line="240" w:lineRule="auto"/>
        <w:rPr>
          <w:color w:val="156082" w:themeColor="accent1"/>
        </w:rPr>
      </w:pPr>
      <w:r w:rsidRPr="00825732">
        <w:rPr>
          <w:color w:val="156082" w:themeColor="accent1"/>
        </w:rPr>
        <w:t xml:space="preserve">However, coral </w:t>
      </w:r>
      <w:proofErr w:type="spellStart"/>
      <w:r w:rsidRPr="00825732">
        <w:rPr>
          <w:color w:val="156082" w:themeColor="accent1"/>
        </w:rPr>
        <w:t>paleogeodesy</w:t>
      </w:r>
      <w:proofErr w:type="spellEnd"/>
      <w:r w:rsidRPr="00825732">
        <w:rPr>
          <w:color w:val="156082" w:themeColor="accent1"/>
        </w:rPr>
        <w:t xml:space="preserve"> based primarily on growth morphology has inherent limitations. In the absence of discrete die-down events, quantifying exact rates of vertical motion can be challenging (Meltzner et al., 2010). This is particularly evident during periods of subsidence; because coral vertical growth is not strictly </w:t>
      </w:r>
      <w:proofErr w:type="gramStart"/>
      <w:r w:rsidRPr="00825732">
        <w:rPr>
          <w:color w:val="156082" w:themeColor="accent1"/>
        </w:rPr>
        <w:t>depth-dependent</w:t>
      </w:r>
      <w:proofErr w:type="gramEnd"/>
      <w:r w:rsidRPr="00825732">
        <w:rPr>
          <w:color w:val="156082" w:themeColor="accent1"/>
        </w:rPr>
        <w:t xml:space="preserve"> as long as the colony remains within the photic zone, the upward growth rate may not accurately reflect the pace of submergence (Woodroffe &amp; McLean, 1990). Consequently, while the method is effective for identifying broad tectonic trends and the direction of motion, the lack of a clear upper-growth constraint during subsidence can lead to underestimations of the total displacement.</w:t>
      </w:r>
    </w:p>
    <w:p w14:paraId="0E0C8FE2" w14:textId="77777777" w:rsidR="001E1613" w:rsidRPr="001E1613" w:rsidRDefault="001E1613" w:rsidP="00D56017">
      <w:pPr>
        <w:spacing w:line="240" w:lineRule="auto"/>
      </w:pPr>
    </w:p>
    <w:p w14:paraId="31091C8B" w14:textId="77777777" w:rsidR="003E3A41" w:rsidRDefault="001E1613" w:rsidP="001E1613">
      <w:pPr>
        <w:spacing w:line="240" w:lineRule="auto"/>
      </w:pPr>
      <w:r w:rsidRPr="001E1613">
        <w:t>Stable isotope</w:t>
      </w:r>
      <w:r w:rsidR="00D040A6">
        <w:t xml:space="preserve"> ratios</w:t>
      </w:r>
      <w:r w:rsidRPr="001E1613">
        <w:t xml:space="preserve"> on coral skeletons are key proxies for climate and oceanography </w:t>
      </w:r>
      <w:r w:rsidR="00D040A6" w:rsidRPr="001E1613">
        <w:t>research,</w:t>
      </w:r>
      <w:r w:rsidR="00D040A6">
        <w:t xml:space="preserve"> and they have been used in these fields for decades now. Widely used proxies are \deo for SST and SSS, \dec</w:t>
      </w:r>
      <w:r w:rsidR="00FB03E1">
        <w:t xml:space="preserve"> </w:t>
      </w:r>
      <w:proofErr w:type="gramStart"/>
      <w:r w:rsidR="00FB03E1">
        <w:t xml:space="preserve">usually </w:t>
      </w:r>
      <w:r w:rsidR="00D040A6">
        <w:t xml:space="preserve"> ,</w:t>
      </w:r>
      <w:proofErr w:type="gramEnd"/>
      <w:r w:rsidR="00D040A6">
        <w:t xml:space="preserve">Sr/Ca Mg/Ca, </w:t>
      </w:r>
      <w:r w:rsidR="00D040A6" w:rsidRPr="00D040A6">
        <w:t>B/Ca</w:t>
      </w:r>
      <w:r w:rsidR="00D040A6">
        <w:t xml:space="preserve"> as well as $\delta</w:t>
      </w:r>
      <w:proofErr w:type="gramStart"/>
      <w:r w:rsidR="00D040A6">
        <w:t>^{11}$</w:t>
      </w:r>
      <w:proofErr w:type="gramEnd"/>
      <w:r w:rsidR="00D040A6">
        <w:t xml:space="preserve">B. </w:t>
      </w:r>
    </w:p>
    <w:p w14:paraId="779104E3" w14:textId="35E1C32B" w:rsidR="001E1613" w:rsidRPr="001E1613" w:rsidRDefault="00522300" w:rsidP="001E1613">
      <w:pPr>
        <w:spacing w:line="240" w:lineRule="auto"/>
      </w:pPr>
      <w:r>
        <w:t xml:space="preserve">Even though these proxies have shared </w:t>
      </w:r>
      <w:proofErr w:type="gramStart"/>
      <w:r>
        <w:t>influencers</w:t>
      </w:r>
      <w:proofErr w:type="gramEnd"/>
      <w:r w:rsidR="003E3A41">
        <w:t>, researchers realized they are sometime also decoupled.</w:t>
      </w:r>
      <w:r>
        <w:t xml:space="preserve"> </w:t>
      </w:r>
    </w:p>
    <w:p w14:paraId="618C367C" w14:textId="5F26DE53" w:rsidR="001E1613" w:rsidRPr="001E1613" w:rsidRDefault="001E1613" w:rsidP="001E1613">
      <w:pPr>
        <w:spacing w:line="240" w:lineRule="auto"/>
      </w:pPr>
      <w:r w:rsidRPr="001E1613">
        <w:t xml:space="preserve">Although </w:t>
      </w:r>
      <w:r w:rsidR="00FB03E1">
        <w:t>\dec</w:t>
      </w:r>
      <w:r w:rsidRPr="001E1613">
        <w:t xml:space="preserve"> variations in coral skeletons depend on several parameters like SST, SSS and further biological factors, previous studies have established that major one of these multiple factors is also the water depth.   </w:t>
      </w:r>
    </w:p>
    <w:p w14:paraId="5B132A7B" w14:textId="2F087554" w:rsidR="001E1613" w:rsidRPr="001E1613" w:rsidRDefault="001E1613" w:rsidP="001E1613">
      <w:pPr>
        <w:spacing w:line="240" w:lineRule="auto"/>
      </w:pPr>
      <w:r w:rsidRPr="001E1613">
        <w:t>\</w:t>
      </w:r>
      <w:proofErr w:type="gramStart"/>
      <w:r w:rsidRPr="001E1613">
        <w:t>cite</w:t>
      </w:r>
      <w:proofErr w:type="gramEnd"/>
      <w:r w:rsidRPr="001E1613">
        <w:t xml:space="preserve">{weber1976depth} observed </w:t>
      </w:r>
      <w:r w:rsidR="00FB03E1">
        <w:t xml:space="preserve">on </w:t>
      </w:r>
      <w:proofErr w:type="spellStart"/>
      <w:r w:rsidR="00FB03E1" w:rsidRPr="00FB03E1">
        <w:rPr>
          <w:i/>
          <w:iCs/>
        </w:rPr>
        <w:t>Montastrea</w:t>
      </w:r>
      <w:proofErr w:type="spellEnd"/>
      <w:r w:rsidR="00FB03E1" w:rsidRPr="00FB03E1">
        <w:rPr>
          <w:i/>
          <w:iCs/>
        </w:rPr>
        <w:t xml:space="preserve"> </w:t>
      </w:r>
      <w:r w:rsidR="00FB03E1" w:rsidRPr="00FB03E1">
        <w:t>annularis</w:t>
      </w:r>
      <w:r w:rsidR="00FB03E1">
        <w:t xml:space="preserve"> from Caribbean </w:t>
      </w:r>
      <w:r w:rsidR="00FB03E1" w:rsidRPr="00FB03E1">
        <w:t>that</w:t>
      </w:r>
      <w:r w:rsidR="00FB03E1" w:rsidRPr="001E1613">
        <w:t xml:space="preserve"> the d13c levels</w:t>
      </w:r>
      <w:r w:rsidR="00FB03E1" w:rsidRPr="00FB03E1">
        <w:rPr>
          <w:i/>
          <w:iCs/>
        </w:rPr>
        <w:t xml:space="preserve"> </w:t>
      </w:r>
      <w:r w:rsidR="00FB03E1">
        <w:t>become</w:t>
      </w:r>
      <w:r w:rsidRPr="001E1613">
        <w:t xml:space="preserve"> more negative with increasing depth for the first 20 m of the water column in a non-linear relationship. </w:t>
      </w:r>
    </w:p>
    <w:p w14:paraId="5B81247C" w14:textId="24E94014" w:rsidR="003E3A41" w:rsidRPr="003E3A41" w:rsidRDefault="001E1613" w:rsidP="003E3A41">
      <w:pPr>
        <w:spacing w:line="240" w:lineRule="auto"/>
      </w:pPr>
      <w:r w:rsidRPr="001E1613">
        <w:t>\</w:t>
      </w:r>
      <w:proofErr w:type="gramStart"/>
      <w:r w:rsidRPr="001E1613">
        <w:t>cite</w:t>
      </w:r>
      <w:proofErr w:type="gramEnd"/>
      <w:r w:rsidRPr="001E1613">
        <w:t>{swart1983carbon}</w:t>
      </w:r>
      <w:r w:rsidR="00522300">
        <w:t xml:space="preserve"> explains this mechanism by p</w:t>
      </w:r>
      <w:r w:rsidR="00522300" w:rsidRPr="00522300">
        <w:t>hotosynthetic carbon fixation</w:t>
      </w:r>
      <w:r w:rsidR="00522300">
        <w:t xml:space="preserve">. </w:t>
      </w:r>
      <w:r w:rsidR="00522300" w:rsidRPr="00522300">
        <w:t>The process of photosynthesis preferentially fixes the lighter isotope, $^{</w:t>
      </w:r>
      <w:proofErr w:type="gramStart"/>
      <w:r w:rsidR="00522300" w:rsidRPr="00522300">
        <w:t>12}\</w:t>
      </w:r>
      <w:proofErr w:type="gramEnd"/>
      <w:r w:rsidR="00522300" w:rsidRPr="00522300">
        <w:t>text{C}$, from the internal $\</w:t>
      </w:r>
      <w:proofErr w:type="gramStart"/>
      <w:r w:rsidR="00522300" w:rsidRPr="00522300">
        <w:t>text{</w:t>
      </w:r>
      <w:proofErr w:type="gramEnd"/>
      <w:r w:rsidR="00522300" w:rsidRPr="00522300">
        <w:t>CO}_2$ pool.  This selective removal of $^{</w:t>
      </w:r>
      <w:proofErr w:type="gramStart"/>
      <w:r w:rsidR="00522300" w:rsidRPr="00522300">
        <w:t>12}\</w:t>
      </w:r>
      <w:proofErr w:type="gramEnd"/>
      <w:r w:rsidR="00522300" w:rsidRPr="00522300">
        <w:t>text{C}$ leaves the residual carbon reservoir enriched in the heavier isotope, $^{</w:t>
      </w:r>
      <w:proofErr w:type="gramStart"/>
      <w:r w:rsidR="00522300" w:rsidRPr="00522300">
        <w:t>13}\</w:t>
      </w:r>
      <w:proofErr w:type="gramEnd"/>
      <w:r w:rsidR="00522300" w:rsidRPr="00522300">
        <w:t>text{C}</w:t>
      </w:r>
      <w:r w:rsidR="003E3A41">
        <w:t xml:space="preserve">, which is the source for </w:t>
      </w:r>
      <w:r w:rsidR="003E3A41" w:rsidRPr="00522300">
        <w:t>calcification</w:t>
      </w:r>
      <w:r w:rsidR="003E3A41">
        <w:t xml:space="preserve"> of coral skeleton. That also implies that everything effecting the </w:t>
      </w:r>
      <w:r w:rsidR="003E3A41">
        <w:lastRenderedPageBreak/>
        <w:t xml:space="preserve">photosynthetic efficiency of the </w:t>
      </w:r>
      <w:r w:rsidR="003E3A41" w:rsidRPr="003E3A41">
        <w:t>zooxanthellae</w:t>
      </w:r>
      <w:r w:rsidR="003E3A41">
        <w:t xml:space="preserve"> symbiont would change the \dec in coral skeleton.</w:t>
      </w:r>
    </w:p>
    <w:p w14:paraId="09519F0E" w14:textId="046184D7" w:rsidR="001E1613" w:rsidRPr="001E1613" w:rsidRDefault="001E1613" w:rsidP="001E1613">
      <w:pPr>
        <w:spacing w:line="240" w:lineRule="auto"/>
      </w:pPr>
    </w:p>
    <w:p w14:paraId="19480E56" w14:textId="5DFBF571" w:rsidR="00554041" w:rsidRDefault="001E1613" w:rsidP="001E1613">
      <w:pPr>
        <w:spacing w:line="240" w:lineRule="auto"/>
      </w:pPr>
      <w:r w:rsidRPr="001E1613">
        <w:t>\</w:t>
      </w:r>
      <w:proofErr w:type="gramStart"/>
      <w:r w:rsidRPr="001E1613">
        <w:t>cite</w:t>
      </w:r>
      <w:proofErr w:type="gramEnd"/>
      <w:r w:rsidRPr="001E1613">
        <w:t>{linsley2019coral}</w:t>
      </w:r>
      <w:r w:rsidR="00A66DFE">
        <w:t xml:space="preserve"> investigated the relationship between \dec and water depth more in detail with </w:t>
      </w:r>
      <w:proofErr w:type="gramStart"/>
      <w:r w:rsidR="00A66DFE">
        <w:t>a large number of</w:t>
      </w:r>
      <w:proofErr w:type="gramEnd"/>
      <w:r w:rsidR="00A66DFE">
        <w:t xml:space="preserve"> coral samples around the globe. The results support the \dec-water depth </w:t>
      </w:r>
      <w:proofErr w:type="gramStart"/>
      <w:r w:rsidR="00A66DFE">
        <w:t>relationship,</w:t>
      </w:r>
      <w:proofErr w:type="gramEnd"/>
      <w:r w:rsidR="00A66DFE">
        <w:t xml:space="preserve"> however it is still unclear how the mechanism exactly works and therefore they assumed a linear relationship which shows a significantly high correlation (r=0.6</w:t>
      </w:r>
      <w:r w:rsidR="00554041">
        <w:t>7</w:t>
      </w:r>
      <w:r w:rsidR="00A66DFE">
        <w:t xml:space="preserve">) for </w:t>
      </w:r>
      <w:r w:rsidR="00A66DFE" w:rsidRPr="00A66DFE">
        <w:t>1.4‰ per 5 m</w:t>
      </w:r>
      <w:r w:rsidR="00A66DFE">
        <w:t xml:space="preserve"> (=357</w:t>
      </w:r>
      <w:proofErr w:type="gramStart"/>
      <w:r w:rsidR="00A66DFE">
        <w:t>cm/</w:t>
      </w:r>
      <w:r w:rsidR="00A66DFE" w:rsidRPr="00A66DFE">
        <w:t>‰</w:t>
      </w:r>
      <w:proofErr w:type="gramEnd"/>
      <w:r w:rsidR="00A66DFE">
        <w:t>)</w:t>
      </w:r>
      <w:r w:rsidR="00554041">
        <w:t xml:space="preserve">. </w:t>
      </w:r>
    </w:p>
    <w:p w14:paraId="351D77C7" w14:textId="33A698FE" w:rsidR="001E1613" w:rsidRDefault="00554041" w:rsidP="001E1613">
      <w:pPr>
        <w:spacing w:line="240" w:lineRule="auto"/>
      </w:pPr>
      <w:r>
        <w:t>Maybe</w:t>
      </w:r>
      <w:r w:rsidR="00D040A6">
        <w:t xml:space="preserve"> due to </w:t>
      </w:r>
      <w:r>
        <w:t xml:space="preserve">isolation </w:t>
      </w:r>
      <w:r w:rsidR="00D040A6">
        <w:t xml:space="preserve">between climate and tectonics community  </w:t>
      </w:r>
    </w:p>
    <w:p w14:paraId="183A9709" w14:textId="7A2721FF" w:rsidR="003E3A41" w:rsidRDefault="00554041" w:rsidP="001E1613">
      <w:pPr>
        <w:spacing w:line="240" w:lineRule="auto"/>
      </w:pPr>
      <w:r>
        <w:t>Bringing these</w:t>
      </w:r>
      <w:r w:rsidR="00F30773">
        <w:t xml:space="preserve"> two concepts </w:t>
      </w:r>
      <w:r>
        <w:t>together raises the question if \dec is a possible proxy for relative depth of the coral and as a result if corals can be used as</w:t>
      </w:r>
      <w:r w:rsidR="00DB6D5E">
        <w:t xml:space="preserve"> natural GPS stations with high temporal precession in past.</w:t>
      </w:r>
    </w:p>
    <w:p w14:paraId="77648696" w14:textId="77777777" w:rsidR="003E3A41" w:rsidRDefault="003E3A41" w:rsidP="001E1613">
      <w:pPr>
        <w:spacing w:line="240" w:lineRule="auto"/>
      </w:pPr>
    </w:p>
    <w:p w14:paraId="085B2908" w14:textId="77777777" w:rsidR="002418EB" w:rsidRPr="002418EB" w:rsidRDefault="002418EB" w:rsidP="002418EB">
      <w:pPr>
        <w:spacing w:line="240" w:lineRule="auto"/>
        <w:rPr>
          <w:color w:val="215E99" w:themeColor="text2" w:themeTint="BF"/>
        </w:rPr>
      </w:pPr>
      <w:r w:rsidRPr="002418EB">
        <w:rPr>
          <w:color w:val="215E99" w:themeColor="text2" w:themeTint="BF"/>
        </w:rPr>
        <w:t>Stable isotope ratios measured in coral skeletons are well-established proxies for climate and oceanographic reconstruction, with several decades of application in both fields. The most widely used proxies include \deo for sea-surface temperature (SST) and sea-surface salinity (SSS), \dec for photosynthetic activity and biological process, Sr/Ca for explicitly SST, Ba/Ca for flood detection and as well as $\delta</w:t>
      </w:r>
      <w:proofErr w:type="gramStart"/>
      <w:r w:rsidRPr="002418EB">
        <w:rPr>
          <w:color w:val="215E99" w:themeColor="text2" w:themeTint="BF"/>
        </w:rPr>
        <w:t>^{11}$</w:t>
      </w:r>
      <w:proofErr w:type="gramEnd"/>
      <w:r w:rsidRPr="002418EB">
        <w:rPr>
          <w:color w:val="215E99" w:themeColor="text2" w:themeTint="BF"/>
        </w:rPr>
        <w:t>B as a pH indicator. Although these proxies share common environmental drivers, they are not always coupled, and their divergence can itself carry interpretable information.</w:t>
      </w:r>
    </w:p>
    <w:p w14:paraId="2C41C7C9" w14:textId="77777777" w:rsidR="002418EB" w:rsidRPr="002418EB" w:rsidRDefault="002418EB" w:rsidP="002418EB">
      <w:pPr>
        <w:spacing w:line="240" w:lineRule="auto"/>
        <w:rPr>
          <w:color w:val="215E99" w:themeColor="text2" w:themeTint="BF"/>
        </w:rPr>
      </w:pPr>
    </w:p>
    <w:p w14:paraId="729A467A" w14:textId="77777777" w:rsidR="002418EB" w:rsidRPr="002418EB" w:rsidRDefault="002418EB" w:rsidP="002418EB">
      <w:pPr>
        <w:spacing w:line="240" w:lineRule="auto"/>
        <w:rPr>
          <w:color w:val="215E99" w:themeColor="text2" w:themeTint="BF"/>
        </w:rPr>
      </w:pPr>
      <w:r w:rsidRPr="002418EB">
        <w:rPr>
          <w:color w:val="215E99" w:themeColor="text2" w:themeTint="BF"/>
        </w:rPr>
        <w:t>\</w:t>
      </w:r>
      <w:proofErr w:type="gramStart"/>
      <w:r w:rsidRPr="002418EB">
        <w:rPr>
          <w:color w:val="215E99" w:themeColor="text2" w:themeTint="BF"/>
        </w:rPr>
        <w:t>dec</w:t>
      </w:r>
      <w:proofErr w:type="gramEnd"/>
      <w:r w:rsidRPr="002418EB">
        <w:rPr>
          <w:color w:val="215E99" w:themeColor="text2" w:themeTint="BF"/>
        </w:rPr>
        <w:t xml:space="preserve"> variations in coral skeletons depend on several parameters including SST, SSS, and biological factors intrinsic to the coral. Among these, water depth has been identified as one of the primary controls. \</w:t>
      </w:r>
      <w:proofErr w:type="spellStart"/>
      <w:proofErr w:type="gramStart"/>
      <w:r w:rsidRPr="002418EB">
        <w:rPr>
          <w:color w:val="215E99" w:themeColor="text2" w:themeTint="BF"/>
        </w:rPr>
        <w:t>citet</w:t>
      </w:r>
      <w:proofErr w:type="spellEnd"/>
      <w:proofErr w:type="gramEnd"/>
      <w:r w:rsidRPr="002418EB">
        <w:rPr>
          <w:color w:val="215E99" w:themeColor="text2" w:themeTint="BF"/>
        </w:rPr>
        <w:t>{weber1976depth} observed in \</w:t>
      </w:r>
      <w:proofErr w:type="spellStart"/>
      <w:proofErr w:type="gramStart"/>
      <w:r w:rsidRPr="002418EB">
        <w:rPr>
          <w:color w:val="215E99" w:themeColor="text2" w:themeTint="BF"/>
        </w:rPr>
        <w:t>textit</w:t>
      </w:r>
      <w:proofErr w:type="spellEnd"/>
      <w:r w:rsidRPr="002418EB">
        <w:rPr>
          <w:color w:val="215E99" w:themeColor="text2" w:themeTint="BF"/>
        </w:rPr>
        <w:t>{</w:t>
      </w:r>
      <w:proofErr w:type="spellStart"/>
      <w:proofErr w:type="gramEnd"/>
      <w:r w:rsidRPr="002418EB">
        <w:rPr>
          <w:color w:val="215E99" w:themeColor="text2" w:themeTint="BF"/>
        </w:rPr>
        <w:t>Montastrea</w:t>
      </w:r>
      <w:proofErr w:type="spellEnd"/>
      <w:r w:rsidRPr="002418EB">
        <w:rPr>
          <w:color w:val="215E99" w:themeColor="text2" w:themeTint="BF"/>
        </w:rPr>
        <w:t xml:space="preserve"> annularis} from the Caribbean that skeletal \dec values become more negative with increasing depth over the uppermost 20~m of the water column, following a non-linear relationship. </w:t>
      </w:r>
    </w:p>
    <w:p w14:paraId="238EBC12" w14:textId="77777777" w:rsidR="002418EB" w:rsidRPr="002418EB" w:rsidRDefault="002418EB" w:rsidP="002418EB">
      <w:pPr>
        <w:spacing w:line="240" w:lineRule="auto"/>
        <w:rPr>
          <w:color w:val="215E99" w:themeColor="text2" w:themeTint="BF"/>
        </w:rPr>
      </w:pPr>
    </w:p>
    <w:p w14:paraId="35D1BADB" w14:textId="77777777" w:rsidR="002418EB" w:rsidRPr="002418EB" w:rsidRDefault="002418EB" w:rsidP="002418EB">
      <w:pPr>
        <w:spacing w:line="240" w:lineRule="auto"/>
        <w:rPr>
          <w:color w:val="215E99" w:themeColor="text2" w:themeTint="BF"/>
        </w:rPr>
      </w:pPr>
      <w:r w:rsidRPr="002418EB">
        <w:rPr>
          <w:color w:val="215E99" w:themeColor="text2" w:themeTint="BF"/>
        </w:rPr>
        <w:t>\</w:t>
      </w:r>
      <w:proofErr w:type="spellStart"/>
      <w:proofErr w:type="gramStart"/>
      <w:r w:rsidRPr="002418EB">
        <w:rPr>
          <w:color w:val="215E99" w:themeColor="text2" w:themeTint="BF"/>
        </w:rPr>
        <w:t>citet</w:t>
      </w:r>
      <w:proofErr w:type="spellEnd"/>
      <w:proofErr w:type="gramEnd"/>
      <w:r w:rsidRPr="002418EB">
        <w:rPr>
          <w:color w:val="215E99" w:themeColor="text2" w:themeTint="BF"/>
        </w:rPr>
        <w:t>{swart1983carbon} attributed this pattern to photosynthetic carbon fixation. During photosynthesis, the zooxanthellae symbionts preferentially assimilate the lighter isotope, $</w:t>
      </w:r>
      <w:proofErr w:type="gramStart"/>
      <w:r w:rsidRPr="002418EB">
        <w:rPr>
          <w:color w:val="215E99" w:themeColor="text2" w:themeTint="BF"/>
        </w:rPr>
        <w:t>^{12}$</w:t>
      </w:r>
      <w:proofErr w:type="gramEnd"/>
      <w:r w:rsidRPr="002418EB">
        <w:rPr>
          <w:color w:val="215E99" w:themeColor="text2" w:themeTint="BF"/>
        </w:rPr>
        <w:t xml:space="preserve">C, from the coral's internal CO$_2$ pool. This </w:t>
      </w:r>
      <w:proofErr w:type="gramStart"/>
      <w:r w:rsidRPr="002418EB">
        <w:rPr>
          <w:color w:val="215E99" w:themeColor="text2" w:themeTint="BF"/>
        </w:rPr>
        <w:t>selective  uptake</w:t>
      </w:r>
      <w:proofErr w:type="gramEnd"/>
      <w:r w:rsidRPr="002418EB">
        <w:rPr>
          <w:color w:val="215E99" w:themeColor="text2" w:themeTint="BF"/>
        </w:rPr>
        <w:t xml:space="preserve"> depletes the residual carbon reservoir in $</w:t>
      </w:r>
      <w:proofErr w:type="gramStart"/>
      <w:r w:rsidRPr="002418EB">
        <w:rPr>
          <w:color w:val="215E99" w:themeColor="text2" w:themeTint="BF"/>
        </w:rPr>
        <w:t>^{12}$</w:t>
      </w:r>
      <w:proofErr w:type="gramEnd"/>
      <w:r w:rsidRPr="002418EB">
        <w:rPr>
          <w:color w:val="215E99" w:themeColor="text2" w:themeTint="BF"/>
        </w:rPr>
        <w:t>C and enriches it in $</w:t>
      </w:r>
      <w:proofErr w:type="gramStart"/>
      <w:r w:rsidRPr="002418EB">
        <w:rPr>
          <w:color w:val="215E99" w:themeColor="text2" w:themeTint="BF"/>
        </w:rPr>
        <w:t>^{13}$</w:t>
      </w:r>
      <w:proofErr w:type="gramEnd"/>
      <w:r w:rsidRPr="002418EB">
        <w:rPr>
          <w:color w:val="215E99" w:themeColor="text2" w:themeTint="BF"/>
        </w:rPr>
        <w:t>C, which is the source pool for skeletal calcification. Consequently, any factor that reduces photosynthetic efficiency --- most notably a decrease in light availability with depth --- will drive skeletal \dec toward more negative values.</w:t>
      </w:r>
    </w:p>
    <w:p w14:paraId="49FA45DD" w14:textId="77777777" w:rsidR="002418EB" w:rsidRPr="002418EB" w:rsidRDefault="002418EB" w:rsidP="002418EB">
      <w:pPr>
        <w:spacing w:line="240" w:lineRule="auto"/>
        <w:rPr>
          <w:color w:val="215E99" w:themeColor="text2" w:themeTint="BF"/>
        </w:rPr>
      </w:pPr>
    </w:p>
    <w:p w14:paraId="2157151D" w14:textId="77777777" w:rsidR="002418EB" w:rsidRPr="002418EB" w:rsidRDefault="002418EB" w:rsidP="002418EB">
      <w:pPr>
        <w:spacing w:line="240" w:lineRule="auto"/>
        <w:rPr>
          <w:color w:val="215E99" w:themeColor="text2" w:themeTint="BF"/>
        </w:rPr>
      </w:pPr>
      <w:r w:rsidRPr="002418EB">
        <w:rPr>
          <w:color w:val="215E99" w:themeColor="text2" w:themeTint="BF"/>
        </w:rPr>
        <w:lastRenderedPageBreak/>
        <w:t>\</w:t>
      </w:r>
      <w:proofErr w:type="spellStart"/>
      <w:proofErr w:type="gramStart"/>
      <w:r w:rsidRPr="002418EB">
        <w:rPr>
          <w:color w:val="215E99" w:themeColor="text2" w:themeTint="BF"/>
        </w:rPr>
        <w:t>citet</w:t>
      </w:r>
      <w:proofErr w:type="spellEnd"/>
      <w:proofErr w:type="gramEnd"/>
      <w:r w:rsidRPr="002418EB">
        <w:rPr>
          <w:color w:val="215E99" w:themeColor="text2" w:themeTint="BF"/>
        </w:rPr>
        <w:t>{linsley2019coral} examined the \dec--depth relationship in greater detail using a large, globally distributed dataset of coral samples. Their results corroborate the depth dependence of \dec, and although the precise mechanism remains incompletely understood, a linear approximation captures the first-order signal well, yielding a correlation of $r = 0.67$ and a gradient of approximately 1.4\</w:t>
      </w:r>
      <w:proofErr w:type="spellStart"/>
      <w:r w:rsidRPr="002418EB">
        <w:rPr>
          <w:color w:val="215E99" w:themeColor="text2" w:themeTint="BF"/>
        </w:rPr>
        <w:t>textperthousand</w:t>
      </w:r>
      <w:proofErr w:type="spellEnd"/>
      <w:r w:rsidRPr="002418EB">
        <w:rPr>
          <w:color w:val="215E99" w:themeColor="text2" w:themeTint="BF"/>
        </w:rPr>
        <w:t>\ per 5~m of water depth.</w:t>
      </w:r>
    </w:p>
    <w:p w14:paraId="24D1CD9B" w14:textId="77777777" w:rsidR="002418EB" w:rsidRPr="002418EB" w:rsidRDefault="002418EB" w:rsidP="002418EB">
      <w:pPr>
        <w:spacing w:line="240" w:lineRule="auto"/>
        <w:rPr>
          <w:color w:val="215E99" w:themeColor="text2" w:themeTint="BF"/>
        </w:rPr>
      </w:pPr>
    </w:p>
    <w:p w14:paraId="0CFC4B4B" w14:textId="1FC98582" w:rsidR="002418EB" w:rsidRPr="002418EB" w:rsidRDefault="002418EB" w:rsidP="002418EB">
      <w:pPr>
        <w:spacing w:line="240" w:lineRule="auto"/>
        <w:rPr>
          <w:color w:val="215E99" w:themeColor="text2" w:themeTint="BF"/>
        </w:rPr>
      </w:pPr>
      <w:r w:rsidRPr="002418EB">
        <w:rPr>
          <w:color w:val="215E99" w:themeColor="text2" w:themeTint="BF"/>
        </w:rPr>
        <w:t xml:space="preserve">Connecting </w:t>
      </w:r>
      <w:proofErr w:type="gramStart"/>
      <w:r w:rsidRPr="002418EB">
        <w:rPr>
          <w:color w:val="215E99" w:themeColor="text2" w:themeTint="BF"/>
        </w:rPr>
        <w:t>the geochemical</w:t>
      </w:r>
      <w:proofErr w:type="gramEnd"/>
      <w:r w:rsidRPr="002418EB">
        <w:rPr>
          <w:color w:val="215E99" w:themeColor="text2" w:themeTint="BF"/>
        </w:rPr>
        <w:t xml:space="preserve"> and tectonic literature naturally raises the question of whether skeletal \dec can serve as a proxy for the relative water depth of the coral colony through time. If so, microatolls could provide continuous, high-temporal-resolution records of vertical tectonic displacement that extend decades to centuries into the past, effectively functioning as natural GPS stations anchored to the seafloor.</w:t>
      </w:r>
    </w:p>
    <w:p w14:paraId="2AE7FC11" w14:textId="77777777" w:rsidR="003E3A41" w:rsidRDefault="003E3A41" w:rsidP="001E1613">
      <w:pPr>
        <w:spacing w:line="240" w:lineRule="auto"/>
        <w:rPr>
          <w:color w:val="156082" w:themeColor="accent1"/>
        </w:rPr>
      </w:pPr>
    </w:p>
    <w:p w14:paraId="672D5F79" w14:textId="3D403A36" w:rsidR="00443498" w:rsidRPr="00443498" w:rsidRDefault="00443498" w:rsidP="00D56017">
      <w:pPr>
        <w:spacing w:line="240" w:lineRule="auto"/>
        <w:rPr>
          <w:color w:val="EE0000"/>
        </w:rPr>
      </w:pPr>
      <w:r w:rsidRPr="00443498">
        <w:rPr>
          <w:color w:val="EE0000"/>
        </w:rPr>
        <w:t>A paragraph I don’t know how to say WELL WE FOUND d13C is working????</w:t>
      </w:r>
    </w:p>
    <w:p w14:paraId="1DCB91A6" w14:textId="4BC12D50" w:rsidR="00443498" w:rsidRDefault="00443498" w:rsidP="00D56017">
      <w:pPr>
        <w:spacing w:line="240" w:lineRule="auto"/>
        <w:rPr>
          <w:color w:val="000000" w:themeColor="text1"/>
        </w:rPr>
      </w:pPr>
      <w:r w:rsidRPr="00443498">
        <w:rPr>
          <w:color w:val="000000" w:themeColor="text1"/>
        </w:rPr>
        <w:t xml:space="preserve">I </w:t>
      </w:r>
      <w:r>
        <w:rPr>
          <w:color w:val="000000" w:themeColor="text1"/>
        </w:rPr>
        <w:t xml:space="preserve">will examine during my </w:t>
      </w:r>
      <w:proofErr w:type="spellStart"/>
      <w:r>
        <w:rPr>
          <w:color w:val="000000" w:themeColor="text1"/>
        </w:rPr>
        <w:t>phd</w:t>
      </w:r>
      <w:proofErr w:type="spellEnd"/>
      <w:r>
        <w:rPr>
          <w:color w:val="000000" w:themeColor="text1"/>
        </w:rPr>
        <w:t xml:space="preserve"> if d13c on corals is </w:t>
      </w:r>
      <w:r w:rsidR="00384B82">
        <w:rPr>
          <w:color w:val="000000" w:themeColor="text1"/>
        </w:rPr>
        <w:t>an</w:t>
      </w:r>
      <w:r>
        <w:rPr>
          <w:color w:val="000000" w:themeColor="text1"/>
        </w:rPr>
        <w:t xml:space="preserve"> accurate proxy for relative sea level and if the decadal vertical changes during </w:t>
      </w:r>
      <w:proofErr w:type="spellStart"/>
      <w:r>
        <w:rPr>
          <w:color w:val="000000" w:themeColor="text1"/>
        </w:rPr>
        <w:t>interseismic</w:t>
      </w:r>
      <w:proofErr w:type="spellEnd"/>
      <w:r w:rsidR="00384B82">
        <w:rPr>
          <w:color w:val="000000" w:themeColor="text1"/>
        </w:rPr>
        <w:t xml:space="preserve"> </w:t>
      </w:r>
      <w:proofErr w:type="gramStart"/>
      <w:r w:rsidR="00384B82">
        <w:rPr>
          <w:color w:val="000000" w:themeColor="text1"/>
        </w:rPr>
        <w:t xml:space="preserve">period </w:t>
      </w:r>
      <w:r>
        <w:rPr>
          <w:color w:val="000000" w:themeColor="text1"/>
        </w:rPr>
        <w:t>?????</w:t>
      </w:r>
      <w:proofErr w:type="gramEnd"/>
    </w:p>
    <w:p w14:paraId="5B4AEC82" w14:textId="1B5F9752" w:rsidR="002418EB" w:rsidRDefault="002418EB" w:rsidP="002418EB">
      <w:pPr>
        <w:pStyle w:val="Heading2"/>
      </w:pPr>
      <w:proofErr w:type="spellStart"/>
      <w:r>
        <w:t>Hyopthesis</w:t>
      </w:r>
      <w:proofErr w:type="spellEnd"/>
    </w:p>
    <w:p w14:paraId="235C8E9F" w14:textId="2CEF324E" w:rsidR="002418EB" w:rsidRDefault="002418EB" w:rsidP="002418EB">
      <w:pPr>
        <w:spacing w:line="240" w:lineRule="auto"/>
        <w:rPr>
          <w:color w:val="000000" w:themeColor="text1"/>
        </w:rPr>
      </w:pPr>
      <w:r w:rsidRPr="002418EB">
        <w:rPr>
          <w:color w:val="000000" w:themeColor="text1"/>
        </w:rPr>
        <w:t>Therefore, during my PhD I will</w:t>
      </w:r>
      <w:r>
        <w:rPr>
          <w:color w:val="000000" w:themeColor="text1"/>
        </w:rPr>
        <w:t xml:space="preserve"> conduct my research on validating and applying the \dec-relative sea level relationship and try to answer these questions:</w:t>
      </w:r>
    </w:p>
    <w:p w14:paraId="1BEDD085" w14:textId="78583D6A" w:rsidR="002418EB" w:rsidRDefault="002418EB" w:rsidP="002418EB">
      <w:pPr>
        <w:pStyle w:val="ListParagraph"/>
        <w:numPr>
          <w:ilvl w:val="0"/>
          <w:numId w:val="2"/>
        </w:numPr>
        <w:spacing w:line="240" w:lineRule="auto"/>
        <w:rPr>
          <w:color w:val="000000" w:themeColor="text1"/>
        </w:rPr>
      </w:pPr>
      <w:r>
        <w:rPr>
          <w:color w:val="000000" w:themeColor="text1"/>
        </w:rPr>
        <w:t xml:space="preserve">Is \dec an applicable proxy for coral </w:t>
      </w:r>
      <w:proofErr w:type="spellStart"/>
      <w:r>
        <w:rPr>
          <w:color w:val="000000" w:themeColor="text1"/>
        </w:rPr>
        <w:t>paleogeodesy</w:t>
      </w:r>
      <w:proofErr w:type="spellEnd"/>
      <w:r>
        <w:rPr>
          <w:color w:val="000000" w:themeColor="text1"/>
        </w:rPr>
        <w:t>?</w:t>
      </w:r>
    </w:p>
    <w:p w14:paraId="7951A0AF" w14:textId="7AB7CA13" w:rsidR="002418EB" w:rsidRPr="002418EB" w:rsidRDefault="002418EB" w:rsidP="002418EB">
      <w:pPr>
        <w:pStyle w:val="ListParagraph"/>
        <w:numPr>
          <w:ilvl w:val="0"/>
          <w:numId w:val="2"/>
        </w:numPr>
        <w:spacing w:line="240" w:lineRule="auto"/>
        <w:rPr>
          <w:color w:val="000000" w:themeColor="text1"/>
        </w:rPr>
      </w:pPr>
      <w:r>
        <w:rPr>
          <w:color w:val="000000" w:themeColor="text1"/>
        </w:rPr>
        <w:t xml:space="preserve">If yes, what happens geodetically during the </w:t>
      </w:r>
      <w:proofErr w:type="spellStart"/>
      <w:r>
        <w:rPr>
          <w:color w:val="000000" w:themeColor="text1"/>
        </w:rPr>
        <w:t>interseismic</w:t>
      </w:r>
      <w:proofErr w:type="spellEnd"/>
      <w:r>
        <w:rPr>
          <w:color w:val="000000" w:themeColor="text1"/>
        </w:rPr>
        <w:t xml:space="preserve"> periods on western Solomon Islands?</w:t>
      </w:r>
    </w:p>
    <w:p w14:paraId="40E3907A" w14:textId="6A2EF669" w:rsidR="00384B82" w:rsidRDefault="00384B82" w:rsidP="00384B82">
      <w:pPr>
        <w:pStyle w:val="Heading2"/>
      </w:pPr>
      <w:r>
        <w:t>Preliminary results</w:t>
      </w:r>
    </w:p>
    <w:p w14:paraId="0272EA69" w14:textId="1D540D82" w:rsidR="00116D7F" w:rsidRDefault="00116D7F" w:rsidP="00384B82">
      <w:r w:rsidRPr="00116D7F">
        <w:t>\</w:t>
      </w:r>
      <w:proofErr w:type="spellStart"/>
      <w:proofErr w:type="gramStart"/>
      <w:r w:rsidRPr="00116D7F">
        <w:t>citet</w:t>
      </w:r>
      <w:proofErr w:type="spellEnd"/>
      <w:proofErr w:type="gramEnd"/>
      <w:r w:rsidRPr="00116D7F">
        <w:t>{taylor2008}</w:t>
      </w:r>
      <w:r>
        <w:t xml:space="preserve"> documented the topographic effect of MW 8.1 2007 Solomon Island earthquake on the region. </w:t>
      </w:r>
      <w:r w:rsidR="009B20AC">
        <w:t xml:space="preserve">65 data points </w:t>
      </w:r>
      <w:r>
        <w:t>span from 2.5</w:t>
      </w:r>
      <w:r w:rsidR="00393B68">
        <w:t xml:space="preserve"> m uplift to 0.7 m subsidence over </w:t>
      </w:r>
      <w:r w:rsidR="00092E4B">
        <w:t>a approx.</w:t>
      </w:r>
      <w:r w:rsidR="00393B68">
        <w:t>150 km</w:t>
      </w:r>
      <w:r w:rsidR="00092E4B">
        <w:t xml:space="preserve"> \times 70 km</w:t>
      </w:r>
      <w:r w:rsidR="00393B68">
        <w:t xml:space="preserve"> area.</w:t>
      </w:r>
      <w:r w:rsidR="009B20AC">
        <w:t xml:space="preserve"> </w:t>
      </w:r>
      <w:proofErr w:type="gramStart"/>
      <w:r w:rsidR="009B20AC">
        <w:t>Similarly</w:t>
      </w:r>
      <w:proofErr w:type="gramEnd"/>
      <w:r w:rsidR="009B20AC">
        <w:t xml:space="preserve"> </w:t>
      </w:r>
      <w:r w:rsidR="009B20AC" w:rsidRPr="009B20AC">
        <w:t>\</w:t>
      </w:r>
      <w:proofErr w:type="spellStart"/>
      <w:proofErr w:type="gramStart"/>
      <w:r w:rsidR="009B20AC" w:rsidRPr="009B20AC">
        <w:t>citet</w:t>
      </w:r>
      <w:proofErr w:type="spellEnd"/>
      <w:r w:rsidR="009B20AC" w:rsidRPr="009B20AC">
        <w:t>{</w:t>
      </w:r>
      <w:proofErr w:type="spellStart"/>
      <w:proofErr w:type="gramEnd"/>
      <w:r w:rsidR="009B20AC" w:rsidRPr="009B20AC">
        <w:t>Miyagi_Inversion</w:t>
      </w:r>
      <w:proofErr w:type="spellEnd"/>
      <w:r w:rsidR="009B20AC" w:rsidRPr="009B20AC">
        <w:t>} reported over 2 meters of</w:t>
      </w:r>
      <w:r w:rsidR="009B20AC">
        <w:t xml:space="preserve"> line of sight (</w:t>
      </w:r>
      <w:r w:rsidR="009B20AC" w:rsidRPr="009B20AC">
        <w:t>LOS</w:t>
      </w:r>
      <w:r w:rsidR="009B20AC">
        <w:t>)</w:t>
      </w:r>
      <w:r w:rsidR="009B20AC" w:rsidRPr="009B20AC">
        <w:t xml:space="preserve"> </w:t>
      </w:r>
      <w:proofErr w:type="spellStart"/>
      <w:r w:rsidR="009B20AC" w:rsidRPr="009B20AC">
        <w:t>coseismic</w:t>
      </w:r>
      <w:proofErr w:type="spellEnd"/>
      <w:r w:rsidR="009B20AC" w:rsidRPr="009B20AC">
        <w:t xml:space="preserve"> deformation from the </w:t>
      </w:r>
      <w:r w:rsidR="009B20AC">
        <w:t>same event</w:t>
      </w:r>
      <w:r w:rsidR="009B20AC" w:rsidRPr="009B20AC">
        <w:t xml:space="preserve"> based on ALOS PALSAR observations. </w:t>
      </w:r>
      <w:r w:rsidR="00E93D2A" w:rsidRPr="00E93D2A">
        <w:t xml:space="preserve">Solomon Islands are a data-scarce environment characterized by large gaps in observational data, a lack of in situ measurements, and a remote and difficult-to-access site. There are no permanent GPS stations on the New Georgia island chain near the epicenter and only two in the entirety of the Solomon Islands. Limited campaign GPS data exist; but the duration of coverage is much </w:t>
      </w:r>
      <w:proofErr w:type="gramStart"/>
      <w:r w:rsidR="00E93D2A" w:rsidRPr="00E93D2A">
        <w:t>shorter</w:t>
      </w:r>
      <w:proofErr w:type="gramEnd"/>
      <w:r w:rsidR="00E93D2A" w:rsidRPr="00E93D2A">
        <w:t xml:space="preserve"> and the network is sparser than typical permanent networks.</w:t>
      </w:r>
    </w:p>
    <w:p w14:paraId="4D009DB5" w14:textId="0E3D0548" w:rsidR="009851E3" w:rsidRDefault="00B365FA" w:rsidP="009851E3">
      <w:r>
        <w:t xml:space="preserve">To gain more insight into the geodetic information Fred Taylor and his team of researchers collected </w:t>
      </w:r>
      <w:r w:rsidR="00C6468B">
        <w:t xml:space="preserve">15 </w:t>
      </w:r>
      <w:r w:rsidR="00C6468B" w:rsidRPr="00C6468B">
        <w:t xml:space="preserve">microatolls from </w:t>
      </w:r>
      <w:proofErr w:type="spellStart"/>
      <w:r w:rsidR="00054F13" w:rsidRPr="00C6468B">
        <w:t>Ranonnga</w:t>
      </w:r>
      <w:proofErr w:type="spellEnd"/>
      <w:r w:rsidR="00054F13" w:rsidRPr="00C6468B">
        <w:t xml:space="preserve"> Island</w:t>
      </w:r>
      <w:r w:rsidR="00C6468B" w:rsidRPr="00C6468B">
        <w:t xml:space="preserve"> to Vella </w:t>
      </w:r>
      <w:proofErr w:type="spellStart"/>
      <w:r w:rsidR="00C6468B" w:rsidRPr="00C6468B">
        <w:t>Mbava</w:t>
      </w:r>
      <w:proofErr w:type="spellEnd"/>
      <w:r w:rsidR="00C6468B" w:rsidRPr="00C6468B">
        <w:t xml:space="preserve"> Island in the West and then </w:t>
      </w:r>
      <w:r w:rsidR="00C6468B" w:rsidRPr="00C6468B">
        <w:lastRenderedPageBreak/>
        <w:t xml:space="preserve">eastward to </w:t>
      </w:r>
      <w:proofErr w:type="spellStart"/>
      <w:r w:rsidR="00C6468B" w:rsidRPr="00C6468B">
        <w:t>Ghizo</w:t>
      </w:r>
      <w:proofErr w:type="spellEnd"/>
      <w:r w:rsidR="00C6468B" w:rsidRPr="00C6468B">
        <w:t xml:space="preserve"> and smaller islands and onward to the western tip of Parara Island (Fig.).</w:t>
      </w:r>
      <w:r w:rsidR="004D09AF">
        <w:t xml:space="preserve"> The isotope analysis initiated s</w:t>
      </w:r>
      <w:r w:rsidR="009851E3">
        <w:t>pecifically</w:t>
      </w:r>
      <w:r w:rsidR="004D09AF">
        <w:t xml:space="preserve"> on </w:t>
      </w:r>
      <w:r w:rsidR="009851E3">
        <w:t>corals 12-SPL-A and 12-SP-A</w:t>
      </w:r>
      <w:r w:rsidR="004D09AF">
        <w:t xml:space="preserve"> </w:t>
      </w:r>
      <w:r w:rsidR="009851E3">
        <w:t xml:space="preserve">from the inner part of the lagoon on the western end of </w:t>
      </w:r>
      <w:proofErr w:type="spellStart"/>
      <w:r w:rsidR="009851E3">
        <w:t>Vonovono</w:t>
      </w:r>
      <w:proofErr w:type="spellEnd"/>
      <w:r w:rsidR="009851E3">
        <w:t xml:space="preserve"> Island</w:t>
      </w:r>
      <w:r w:rsidR="0020500E">
        <w:t xml:space="preserve"> (referred in \cite{taylor2008} and </w:t>
      </w:r>
      <w:r w:rsidR="0020500E" w:rsidRPr="0020500E">
        <w:t xml:space="preserve">locally known as </w:t>
      </w:r>
      <w:r w:rsidR="0020500E">
        <w:t>“</w:t>
      </w:r>
      <w:r w:rsidR="0020500E" w:rsidRPr="0020500E">
        <w:t>Parara</w:t>
      </w:r>
      <w:r w:rsidR="0020500E">
        <w:t>”)</w:t>
      </w:r>
      <w:r w:rsidR="009851E3">
        <w:t>. The coordinates for 12-SPL-A are \</w:t>
      </w:r>
      <w:proofErr w:type="gramStart"/>
      <w:r w:rsidR="009851E3">
        <w:t>ang{8.221}S</w:t>
      </w:r>
      <w:proofErr w:type="gramEnd"/>
      <w:r w:rsidR="009851E3">
        <w:t>, \</w:t>
      </w:r>
      <w:proofErr w:type="gramStart"/>
      <w:r w:rsidR="009851E3">
        <w:t>ang{157.005}E</w:t>
      </w:r>
      <w:proofErr w:type="gramEnd"/>
      <w:r w:rsidR="009851E3">
        <w:t xml:space="preserve"> and for 12-SP-A are \</w:t>
      </w:r>
      <w:proofErr w:type="gramStart"/>
      <w:r w:rsidR="009851E3">
        <w:t>ang{8.216}S</w:t>
      </w:r>
      <w:proofErr w:type="gramEnd"/>
      <w:r w:rsidR="009851E3">
        <w:t>, \</w:t>
      </w:r>
      <w:proofErr w:type="gramStart"/>
      <w:r w:rsidR="009851E3">
        <w:t>ang{156.984}E.</w:t>
      </w:r>
      <w:proofErr w:type="gramEnd"/>
      <w:r w:rsidR="009851E3">
        <w:t xml:space="preserve"> Both microatolls are approximately 4~m in diameter and have very similar surface topography </w:t>
      </w:r>
      <w:proofErr w:type="gramStart"/>
      <w:r w:rsidR="009851E3">
        <w:t>and also</w:t>
      </w:r>
      <w:proofErr w:type="gramEnd"/>
      <w:r w:rsidR="009851E3">
        <w:t xml:space="preserve"> the nearby microatolls appear visually comparable. 12-SPL-A was still living at the time of sampling and </w:t>
      </w:r>
      <w:r w:rsidR="006567E0">
        <w:t>has morphological remarks for</w:t>
      </w:r>
      <w:r w:rsidR="0020500E">
        <w:t xml:space="preserve"> </w:t>
      </w:r>
      <w:r w:rsidR="004D09AF">
        <w:t>7</w:t>
      </w:r>
      <w:r w:rsidR="0020500E">
        <w:t>2</w:t>
      </w:r>
      <w:r w:rsidR="004D09AF">
        <w:t>~cm</w:t>
      </w:r>
      <w:r w:rsidR="006567E0">
        <w:t xml:space="preserve"> </w:t>
      </w:r>
      <w:proofErr w:type="spellStart"/>
      <w:r w:rsidR="006567E0">
        <w:t>coseismic</w:t>
      </w:r>
      <w:proofErr w:type="spellEnd"/>
      <w:r w:rsidR="0020500E">
        <w:t xml:space="preserve"> uplift</w:t>
      </w:r>
      <w:r w:rsidR="009851E3">
        <w:t xml:space="preserve"> during the 2007 </w:t>
      </w:r>
      <w:proofErr w:type="spellStart"/>
      <w:r w:rsidR="009851E3">
        <w:t>textsubscript</w:t>
      </w:r>
      <w:proofErr w:type="spellEnd"/>
      <w:r w:rsidR="009851E3">
        <w:t>{w}8.1 earthquake.</w:t>
      </w:r>
      <w:r w:rsidR="004D09AF">
        <w:t xml:space="preserve"> </w:t>
      </w:r>
    </w:p>
    <w:p w14:paraId="13C75033" w14:textId="77777777" w:rsidR="006567E0" w:rsidRDefault="009851E3" w:rsidP="00384B82">
      <w:r>
        <w:t>Two separate drilling campaigns were conducted on 12-SPL-A. In both campaigns, one temporally focused</w:t>
      </w:r>
      <w:r w:rsidR="006567E0">
        <w:t xml:space="preserve"> multiple </w:t>
      </w:r>
      <w:r>
        <w:t>time-serie</w:t>
      </w:r>
      <w:r w:rsidR="006567E0">
        <w:t xml:space="preserve">s in horizontal direction </w:t>
      </w:r>
      <w:r>
        <w:t xml:space="preserve">and multiple shorter transects for depth--\dec calibration were collected. The first campaign was conducted in </w:t>
      </w:r>
      <w:r w:rsidRPr="006567E0">
        <w:rPr>
          <w:color w:val="EE0000"/>
        </w:rPr>
        <w:t>2021</w:t>
      </w:r>
      <w:r>
        <w:t>\</w:t>
      </w:r>
      <w:proofErr w:type="gramStart"/>
      <w:r>
        <w:t>footnote{</w:t>
      </w:r>
      <w:proofErr w:type="gramEnd"/>
      <w:r>
        <w:t xml:space="preserve">Year to be confirmed.} and its primary results, which show a compelling overlap with InSAR observations from the region, </w:t>
      </w:r>
      <w:r w:rsidR="006567E0">
        <w:t>will be</w:t>
      </w:r>
      <w:r>
        <w:t xml:space="preserve"> published in \</w:t>
      </w:r>
      <w:proofErr w:type="spellStart"/>
      <w:r>
        <w:t>citet</w:t>
      </w:r>
      <w:proofErr w:type="spellEnd"/>
      <w:r>
        <w:t>{kendall2026}. During that campaign, 118 continuous samples were collected covering the 2007 M\</w:t>
      </w:r>
      <w:proofErr w:type="spellStart"/>
      <w:r>
        <w:t>textsubscript</w:t>
      </w:r>
      <w:proofErr w:type="spellEnd"/>
      <w:r>
        <w:t xml:space="preserve">{w}8.1 event, together with 68 calibration samples from seven different depths. </w:t>
      </w:r>
    </w:p>
    <w:p w14:paraId="47FF7947" w14:textId="3E8ABE46" w:rsidR="006567E0" w:rsidRPr="004F640B" w:rsidRDefault="009851E3" w:rsidP="00384B82">
      <w:r>
        <w:t>The second and main drilling campaign for the present study took place in late 2024. We collected 574 samples from eight horizontally parallel paths to provide temporal coverage of the tectonic history, additionally 140 samples from five depths for the depth--\dec calibration.</w:t>
      </w:r>
      <w:r w:rsidR="006567E0">
        <w:t xml:space="preserve"> </w:t>
      </w:r>
      <w:r w:rsidR="006567E0" w:rsidRPr="006567E0">
        <w:t>The drilling paths were oriented horizontally to capture temporal changes in stable isotope ratios in response to the vertical tectonic motion of the coral.</w:t>
      </w:r>
      <w:r w:rsidR="00D952D2">
        <w:t xml:space="preserve"> Even though it is controversial to common vertical sampling strategies, sa</w:t>
      </w:r>
      <w:r w:rsidR="006567E0" w:rsidRPr="006567E0">
        <w:t>mpling the coral in either the vertical or horizontal direction does not alter isotope ratios (e.g.\ Sr/Ca)</w:t>
      </w:r>
      <w:r w:rsidR="00D952D2">
        <w:t xml:space="preserve"> if the growth axis is </w:t>
      </w:r>
      <w:r w:rsidR="00D952D2" w:rsidRPr="004F640B">
        <w:t>respected</w:t>
      </w:r>
      <w:r w:rsidR="006567E0" w:rsidRPr="004F640B">
        <w:t>,</w:t>
      </w:r>
      <w:r w:rsidR="00D952D2" w:rsidRPr="004F640B">
        <w:t xml:space="preserve"> </w:t>
      </w:r>
      <w:r w:rsidR="006567E0" w:rsidRPr="004F640B">
        <w:t>as demonstrated by \</w:t>
      </w:r>
      <w:proofErr w:type="spellStart"/>
      <w:r w:rsidR="006567E0" w:rsidRPr="004F640B">
        <w:t>citet</w:t>
      </w:r>
      <w:proofErr w:type="spellEnd"/>
      <w:r w:rsidR="006567E0" w:rsidRPr="004F640B">
        <w:t>{delong2013}.</w:t>
      </w:r>
      <w:r w:rsidR="00D952D2" w:rsidRPr="004F640B">
        <w:t xml:space="preserve"> </w:t>
      </w:r>
    </w:p>
    <w:p w14:paraId="641B7DDF" w14:textId="1A19F87B" w:rsidR="006567E0" w:rsidRPr="004F640B" w:rsidRDefault="00D952D2" w:rsidP="00384B82">
      <w:r w:rsidRPr="004F640B">
        <w:t xml:space="preserve">All the samples are analyzed at the </w:t>
      </w:r>
      <w:proofErr w:type="spellStart"/>
      <w:r w:rsidRPr="004F640B">
        <w:t>Breecker</w:t>
      </w:r>
      <w:proofErr w:type="spellEnd"/>
      <w:r w:rsidRPr="004F640B">
        <w:t xml:space="preserve"> Laboratory, Austin for \dec and \deo.</w:t>
      </w:r>
    </w:p>
    <w:p w14:paraId="6075CA40" w14:textId="77777777" w:rsidR="00713E92" w:rsidRPr="004F640B" w:rsidRDefault="00713E92" w:rsidP="00384B82"/>
    <w:p w14:paraId="5A9D3D65" w14:textId="3DE10CD1" w:rsidR="00007B0B" w:rsidRPr="004F640B" w:rsidRDefault="00007B0B" w:rsidP="00007B0B">
      <w:r w:rsidRPr="004F640B">
        <w:t xml:space="preserve">BLA </w:t>
      </w:r>
      <w:proofErr w:type="spellStart"/>
      <w:r w:rsidRPr="004F640B">
        <w:t>BLA</w:t>
      </w:r>
      <w:proofErr w:type="spellEnd"/>
      <w:r w:rsidRPr="004F640B">
        <w:t xml:space="preserve"> </w:t>
      </w:r>
      <w:proofErr w:type="spellStart"/>
      <w:r w:rsidRPr="004F640B">
        <w:t>BLA</w:t>
      </w:r>
      <w:proofErr w:type="spellEnd"/>
    </w:p>
    <w:p w14:paraId="58FC06BC" w14:textId="689744D9" w:rsidR="00007B0B" w:rsidRPr="004F640B" w:rsidRDefault="00007B0B">
      <w:r w:rsidRPr="004F640B">
        <w:t xml:space="preserve">Both time series d13C and d18O capture a variety of different processes like annual and ENSO induced climatic cycles as well as decadal long [vertical tectonic] signals. Additionally, both isotope ratios show different sensitivity for same processes. </w:t>
      </w:r>
    </w:p>
    <w:p w14:paraId="3441307D" w14:textId="2C175E11" w:rsidR="007C5882" w:rsidRPr="004F640B" w:rsidRDefault="000060E5" w:rsidP="006A0D68">
      <w:r w:rsidRPr="004F640B">
        <w:t>T</w:t>
      </w:r>
      <w:r w:rsidR="006A0D68" w:rsidRPr="004F640B">
        <w:t xml:space="preserve">he \dec data </w:t>
      </w:r>
      <w:r w:rsidRPr="004F640B">
        <w:t xml:space="preserve">is separated </w:t>
      </w:r>
      <w:r w:rsidR="006A0D68" w:rsidRPr="004F640B">
        <w:t>into 8</w:t>
      </w:r>
      <w:r w:rsidR="0081648D" w:rsidRPr="004F640B">
        <w:t xml:space="preserve"> roughly decadal</w:t>
      </w:r>
      <w:r w:rsidR="006A0D68" w:rsidRPr="004F640B">
        <w:t xml:space="preserve"> segments </w:t>
      </w:r>
      <w:r w:rsidR="0081648D" w:rsidRPr="004F640B">
        <w:t xml:space="preserve">and </w:t>
      </w:r>
      <w:r w:rsidRPr="004F640B">
        <w:t>the</w:t>
      </w:r>
      <w:r w:rsidR="0081648D" w:rsidRPr="004F640B">
        <w:t xml:space="preserve"> linear </w:t>
      </w:r>
      <w:r w:rsidRPr="004F640B">
        <w:t>trend</w:t>
      </w:r>
      <w:r w:rsidR="0081648D" w:rsidRPr="004F640B">
        <w:t xml:space="preserve"> of </w:t>
      </w:r>
      <w:r w:rsidR="006A0D68" w:rsidRPr="004F640B">
        <w:t xml:space="preserve">each </w:t>
      </w:r>
      <w:r w:rsidRPr="004F640B">
        <w:t xml:space="preserve">segment is estimated. </w:t>
      </w:r>
      <w:r w:rsidR="006A0D68" w:rsidRPr="004F640B">
        <w:t xml:space="preserve">The oldest turning point </w:t>
      </w:r>
      <w:r w:rsidR="0081648D" w:rsidRPr="004F640B">
        <w:t>is</w:t>
      </w:r>
      <w:r w:rsidR="006A0D68" w:rsidRPr="004F640B">
        <w:t xml:space="preserve"> 1945 and the \dec </w:t>
      </w:r>
      <w:r w:rsidR="0081648D" w:rsidRPr="004F640B">
        <w:t>switches</w:t>
      </w:r>
      <w:r w:rsidR="006A0D68" w:rsidRPr="004F640B">
        <w:t xml:space="preserve"> </w:t>
      </w:r>
      <w:r w:rsidR="0081648D" w:rsidRPr="004F640B">
        <w:t xml:space="preserve">from a flat trend </w:t>
      </w:r>
      <w:r w:rsidR="006A0D68" w:rsidRPr="004F640B">
        <w:t>to</w:t>
      </w:r>
      <w:r w:rsidR="0081648D" w:rsidRPr="004F640B">
        <w:t xml:space="preserve"> a</w:t>
      </w:r>
      <w:r w:rsidR="006A0D68" w:rsidRPr="004F640B">
        <w:t xml:space="preserve"> significant inclination trend until 1951. Notably</w:t>
      </w:r>
      <w:r w:rsidR="0081648D" w:rsidRPr="004F640B">
        <w:t xml:space="preserve"> in </w:t>
      </w:r>
      <w:r w:rsidR="004060D2" w:rsidRPr="004F640B">
        <w:t>1945 also</w:t>
      </w:r>
      <w:r w:rsidR="00544CBC" w:rsidRPr="004F640B">
        <w:t xml:space="preserve"> </w:t>
      </w:r>
      <w:r w:rsidR="0081648D" w:rsidRPr="004F640B">
        <w:t>the</w:t>
      </w:r>
      <w:r w:rsidR="006A0D68" w:rsidRPr="004F640B">
        <w:t xml:space="preserve"> \deo</w:t>
      </w:r>
      <w:r w:rsidR="0081648D" w:rsidRPr="004F640B">
        <w:t xml:space="preserve"> values </w:t>
      </w:r>
      <w:r w:rsidR="006A0D68" w:rsidRPr="004F640B">
        <w:t xml:space="preserve">drop twice </w:t>
      </w:r>
      <w:r w:rsidR="00544CBC" w:rsidRPr="004F640B">
        <w:t>of the amount</w:t>
      </w:r>
      <w:r w:rsidR="006A0D68" w:rsidRPr="004F640B">
        <w:t xml:space="preserve"> as the yearly amplitude</w:t>
      </w:r>
      <w:r w:rsidR="00544CBC" w:rsidRPr="004F640B">
        <w:t>, however the</w:t>
      </w:r>
      <w:r w:rsidR="004060D2" w:rsidRPr="004F640B">
        <w:t xml:space="preserve"> increasing</w:t>
      </w:r>
      <w:r w:rsidR="00544CBC" w:rsidRPr="004F640B">
        <w:t xml:space="preserve"> trend before and after </w:t>
      </w:r>
      <w:r w:rsidR="00544CBC" w:rsidRPr="004F640B">
        <w:lastRenderedPageBreak/>
        <w:t xml:space="preserve">1945 </w:t>
      </w:r>
      <w:proofErr w:type="gramStart"/>
      <w:r w:rsidR="004060D2" w:rsidRPr="004F640B">
        <w:t>is remained</w:t>
      </w:r>
      <w:proofErr w:type="gramEnd"/>
      <w:r w:rsidR="004060D2" w:rsidRPr="004F640B">
        <w:t xml:space="preserve"> </w:t>
      </w:r>
      <w:r w:rsidR="00544CBC" w:rsidRPr="004F640B">
        <w:t>for \deo</w:t>
      </w:r>
      <w:r w:rsidR="00EC5A1B" w:rsidRPr="004F640B">
        <w:t xml:space="preserve"> until 1953</w:t>
      </w:r>
      <w:r w:rsidR="00544CBC" w:rsidRPr="004F640B">
        <w:t>.</w:t>
      </w:r>
      <w:r w:rsidR="00EC5A1B" w:rsidRPr="004F640B">
        <w:t xml:space="preserve"> After that \deo shows a perfectly steady (n = 0)</w:t>
      </w:r>
      <w:r w:rsidR="00544CBC" w:rsidRPr="004F640B">
        <w:t xml:space="preserve"> </w:t>
      </w:r>
      <w:r w:rsidR="00EC5A1B" w:rsidRPr="004F640B">
        <w:t xml:space="preserve">trend for 18 years until end of 1970. The same </w:t>
      </w:r>
      <w:proofErr w:type="gramStart"/>
      <w:r w:rsidR="00EC5A1B" w:rsidRPr="004F640B">
        <w:t>time period</w:t>
      </w:r>
      <w:proofErr w:type="gramEnd"/>
      <w:r w:rsidR="00EC5A1B" w:rsidRPr="004F640B">
        <w:t xml:space="preserve"> is the time where the \dec has its steepest increase and the peak at 1970 October. </w:t>
      </w:r>
      <w:r w:rsidR="002B0271" w:rsidRPr="004F640B">
        <w:t xml:space="preserve">A crucial observation is </w:t>
      </w:r>
      <w:proofErr w:type="gramStart"/>
      <w:r w:rsidR="002B0271" w:rsidRPr="004F640B">
        <w:t>the,</w:t>
      </w:r>
      <w:proofErr w:type="gramEnd"/>
      <w:r w:rsidR="002B0271" w:rsidRPr="004F640B">
        <w:t xml:space="preserve"> the correlation between </w:t>
      </w:r>
      <w:proofErr w:type="gramStart"/>
      <w:r w:rsidR="002B0271" w:rsidRPr="004F640B">
        <w:t>detrended</w:t>
      </w:r>
      <w:proofErr w:type="gramEnd"/>
      <w:r w:rsidR="002B0271" w:rsidRPr="004F640B">
        <w:t xml:space="preserve"> \dec \&amp; \deo is still significant for that period regardless of very different trends. This observation supports the decadal trends in \dec has a non-climatic environmental cause which we </w:t>
      </w:r>
      <w:r w:rsidRPr="004F640B">
        <w:t xml:space="preserve">will focus deeply </w:t>
      </w:r>
      <w:r w:rsidR="002B0271" w:rsidRPr="004F640B">
        <w:t xml:space="preserve">in later chapters. </w:t>
      </w:r>
      <w:r w:rsidRPr="004F640B">
        <w:t xml:space="preserve">After the steep drop until 1979 a new increasing trend starts immediately until </w:t>
      </w:r>
      <w:r w:rsidR="001F6967" w:rsidRPr="004F640B">
        <w:t>1991</w:t>
      </w:r>
      <w:r w:rsidR="007C5882" w:rsidRPr="004F640B">
        <w:t xml:space="preserve">. On the other hand, a stable decreasing trend on \deo for 20 year ends also at the same year, </w:t>
      </w:r>
      <w:r w:rsidRPr="004F640B">
        <w:t xml:space="preserve">which coincides with </w:t>
      </w:r>
      <w:r w:rsidR="007C5882" w:rsidRPr="004F640B">
        <w:t>the 1991-92 El Niño began building in mid-1991. After that both signals show a decreasing trend until the earthquake in 2007.</w:t>
      </w:r>
    </w:p>
    <w:p w14:paraId="3A8146CE" w14:textId="008AAE55" w:rsidR="006567E0" w:rsidRPr="004F640B" w:rsidRDefault="00900C04">
      <w:r w:rsidRPr="004F640B">
        <w:t xml:space="preserve">Even though the raw data </w:t>
      </w:r>
      <w:proofErr w:type="spellStart"/>
      <w:r w:rsidRPr="004F640B">
        <w:t>posses</w:t>
      </w:r>
      <w:proofErr w:type="spellEnd"/>
      <w:r w:rsidRPr="004F640B">
        <w:t xml:space="preserve"> a strong variation (noise) </w:t>
      </w:r>
      <w:r w:rsidR="00713E92" w:rsidRPr="004F640B">
        <w:t>in</w:t>
      </w:r>
      <w:r w:rsidRPr="004F640B">
        <w:t xml:space="preserve"> monthly </w:t>
      </w:r>
      <w:r w:rsidR="00713E92" w:rsidRPr="004F640B">
        <w:t>time</w:t>
      </w:r>
      <w:r w:rsidR="00722E13" w:rsidRPr="004F640B">
        <w:t xml:space="preserve"> scale</w:t>
      </w:r>
      <w:r w:rsidRPr="004F640B">
        <w:t>, a</w:t>
      </w:r>
      <w:r w:rsidR="00007B0B" w:rsidRPr="004F640B">
        <w:t>fter a simple moving average filter of 3 points, the annual signal is the first thing stands out for both \dec and \deo results.</w:t>
      </w:r>
      <w:r w:rsidRPr="004F640B">
        <w:t xml:space="preserve"> </w:t>
      </w:r>
      <w:r w:rsidR="00722E13" w:rsidRPr="004F640B">
        <w:t xml:space="preserve">For \deo there is a clear peak between May and November for \dec it is not as clear as it is for \deo but the mainly the lowest month is </w:t>
      </w:r>
      <w:proofErr w:type="gramStart"/>
      <w:r w:rsidR="00722E13" w:rsidRPr="004F640B">
        <w:t>on</w:t>
      </w:r>
      <w:proofErr w:type="gramEnd"/>
      <w:r w:rsidR="00722E13" w:rsidRPr="004F640B">
        <w:t xml:space="preserve"> June and the main peak is in October. </w:t>
      </w:r>
      <w:r w:rsidR="00D542B1" w:rsidRPr="004F640B">
        <w:t>However,</w:t>
      </w:r>
      <w:r w:rsidR="00713E92" w:rsidRPr="004F640B">
        <w:t xml:space="preserve"> there are time windows where the annual signal disappears or becomes unrecognizable </w:t>
      </w:r>
      <w:r w:rsidR="00085EC2" w:rsidRPr="004F640B">
        <w:t>within</w:t>
      </w:r>
      <w:r w:rsidR="00713E92" w:rsidRPr="004F640B">
        <w:t xml:space="preserve"> decadal trends, especially for \dec. It is known </w:t>
      </w:r>
      <w:r w:rsidR="00D542B1" w:rsidRPr="004F640B">
        <w:t>that</w:t>
      </w:r>
      <w:r w:rsidR="00713E92" w:rsidRPr="004F640B">
        <w:t xml:space="preserve"> \deo is a robust indicator for SST \&amp; </w:t>
      </w:r>
      <w:proofErr w:type="gramStart"/>
      <w:r w:rsidR="00713E92" w:rsidRPr="004F640B">
        <w:t>SSS</w:t>
      </w:r>
      <w:proofErr w:type="gramEnd"/>
      <w:r w:rsidR="00713E92" w:rsidRPr="004F640B">
        <w:t xml:space="preserve"> and </w:t>
      </w:r>
      <w:r w:rsidR="00085EC2" w:rsidRPr="004F640B">
        <w:t>the gathered \deo data</w:t>
      </w:r>
      <w:r w:rsidR="00D542B1" w:rsidRPr="004F640B">
        <w:t xml:space="preserve"> aligns with </w:t>
      </w:r>
      <w:r w:rsidR="00085EC2" w:rsidRPr="004F640B">
        <w:t>them</w:t>
      </w:r>
      <w:r w:rsidR="00D542B1" w:rsidRPr="004F640B">
        <w:t xml:space="preserve"> too. Lomb-</w:t>
      </w:r>
      <w:proofErr w:type="spellStart"/>
      <w:r w:rsidR="00D542B1" w:rsidRPr="004F640B">
        <w:t>scargle</w:t>
      </w:r>
      <w:proofErr w:type="spellEnd"/>
      <w:r w:rsidR="00D542B1" w:rsidRPr="004F640B">
        <w:t xml:space="preserve"> spectrogram of \deo reveals that, only during the 1992 ENSO event </w:t>
      </w:r>
      <w:proofErr w:type="gramStart"/>
      <w:r w:rsidR="00D542B1" w:rsidRPr="004F640B">
        <w:t>the annual signal is</w:t>
      </w:r>
      <w:proofErr w:type="gramEnd"/>
      <w:r w:rsidR="00D542B1" w:rsidRPr="004F640B">
        <w:t xml:space="preserve"> </w:t>
      </w:r>
      <w:r w:rsidR="007C5882" w:rsidRPr="004F640B">
        <w:t>missing,</w:t>
      </w:r>
      <w:r w:rsidR="00D542B1" w:rsidRPr="004F640B">
        <w:t xml:space="preserve"> and it weaken during the 1945 drop. \</w:t>
      </w:r>
      <w:proofErr w:type="gramStart"/>
      <w:r w:rsidR="00D542B1" w:rsidRPr="004F640B">
        <w:t>dec</w:t>
      </w:r>
      <w:proofErr w:type="gramEnd"/>
      <w:r w:rsidR="00D542B1" w:rsidRPr="004F640B">
        <w:t xml:space="preserve"> show a much more instable results indicating its sensitivity</w:t>
      </w:r>
      <w:r w:rsidR="00085EC2" w:rsidRPr="004F640B">
        <w:t xml:space="preserve"> is in</w:t>
      </w:r>
      <w:r w:rsidR="00D542B1" w:rsidRPr="004F640B">
        <w:t xml:space="preserve"> high frequency changes other than \deo. The annual signal for \dec is apparent most of the time </w:t>
      </w:r>
      <w:r w:rsidR="00085EC2" w:rsidRPr="004F640B">
        <w:t>span,</w:t>
      </w:r>
      <w:r w:rsidR="00D542B1" w:rsidRPr="004F640B">
        <w:t xml:space="preserve"> however there are multiple yearlong caveats </w:t>
      </w:r>
      <w:r w:rsidR="00085EC2" w:rsidRPr="004F640B">
        <w:t>of annual signal coinciding with</w:t>
      </w:r>
      <w:r w:rsidR="00B51CCD" w:rsidRPr="004F640B">
        <w:t xml:space="preserve"> long-term strong trends</w:t>
      </w:r>
      <w:r w:rsidR="00085EC2" w:rsidRPr="004F640B">
        <w:t xml:space="preserve">, like the drop after 1945 and the around the peak </w:t>
      </w:r>
      <w:proofErr w:type="gramStart"/>
      <w:r w:rsidR="00085EC2" w:rsidRPr="004F640B">
        <w:t>at</w:t>
      </w:r>
      <w:proofErr w:type="gramEnd"/>
      <w:r w:rsidR="00085EC2" w:rsidRPr="004F640B">
        <w:t xml:space="preserve"> 1970. </w:t>
      </w:r>
    </w:p>
    <w:p w14:paraId="5D870941" w14:textId="77777777" w:rsidR="009F7B54" w:rsidRPr="004F640B" w:rsidRDefault="009F7B54"/>
    <w:p w14:paraId="2520178A" w14:textId="38262E61" w:rsidR="009F7B54" w:rsidRPr="004F640B" w:rsidRDefault="009F7B54" w:rsidP="004F640B">
      <w:pPr>
        <w:pStyle w:val="Heading2"/>
      </w:pPr>
      <w:r w:rsidRPr="004F640B">
        <w:t>Coral Depth-d13c Relationship</w:t>
      </w:r>
    </w:p>
    <w:p w14:paraId="129225FE" w14:textId="77777777" w:rsidR="009711B5" w:rsidRDefault="005A5EF3" w:rsidP="00054F13">
      <w:proofErr w:type="gramStart"/>
      <w:r>
        <w:t>In order to</w:t>
      </w:r>
      <w:proofErr w:type="gramEnd"/>
      <w:r>
        <w:t xml:space="preserve"> investigate the exact relationship between \dec and relative water depth a different sampling strategy is followed. To avoid any temporal variation samples from the same growth band but from different depths need to be taken. In practice for decreasing the uncertainty a short horizontal sampling patch is taken </w:t>
      </w:r>
      <w:r w:rsidR="00304BC1">
        <w:t>and then</w:t>
      </w:r>
      <w:r>
        <w:t xml:space="preserve"> the ages are matched. During the first drilling </w:t>
      </w:r>
      <w:r w:rsidR="00304BC1">
        <w:t>campaign,</w:t>
      </w:r>
      <w:r>
        <w:t xml:space="preserve"> </w:t>
      </w:r>
      <w:proofErr w:type="gramStart"/>
      <w:r>
        <w:t>in</w:t>
      </w:r>
      <w:proofErr w:type="gramEnd"/>
      <w:r>
        <w:t xml:space="preserve"> average </w:t>
      </w:r>
      <w:r w:rsidR="0028494C">
        <w:t>10</w:t>
      </w:r>
      <w:r>
        <w:t xml:space="preserve"> neighboring samples </w:t>
      </w:r>
      <w:r w:rsidR="00304BC1">
        <w:t>were</w:t>
      </w:r>
      <w:r>
        <w:t xml:space="preserve"> taken</w:t>
      </w:r>
      <w:r w:rsidR="002F7344">
        <w:t xml:space="preserve"> from each depth</w:t>
      </w:r>
      <w:r>
        <w:t xml:space="preserve">, </w:t>
      </w:r>
      <w:proofErr w:type="gramStart"/>
      <w:r>
        <w:t>than</w:t>
      </w:r>
      <w:proofErr w:type="gramEnd"/>
      <w:r>
        <w:t xml:space="preserve"> </w:t>
      </w:r>
      <w:r w:rsidR="0028494C">
        <w:t xml:space="preserve">during the second drilling campaign </w:t>
      </w:r>
      <w:r>
        <w:t xml:space="preserve">I increased </w:t>
      </w:r>
      <w:r w:rsidR="0028494C">
        <w:t>the sample size</w:t>
      </w:r>
      <w:r>
        <w:t xml:space="preserve"> average</w:t>
      </w:r>
      <w:r w:rsidR="0028494C">
        <w:t xml:space="preserve"> to</w:t>
      </w:r>
      <w:r>
        <w:t xml:space="preserve"> 28</w:t>
      </w:r>
      <w:r w:rsidR="004B547A">
        <w:t>.</w:t>
      </w:r>
    </w:p>
    <w:p w14:paraId="23BB5A43" w14:textId="505A946B" w:rsidR="009711B5" w:rsidRDefault="009711B5" w:rsidP="00054F13">
      <w:r>
        <w:t xml:space="preserve">For the time series data we haven’t considered the Suess Effect, however for the calibration calculation we corrected the Suess Effect since we are comparing two data sets from with a time difference in recent ages (1995-2000 and 2005-2006). </w:t>
      </w:r>
      <w:proofErr w:type="gramStart"/>
      <w:r>
        <w:t>So</w:t>
      </w:r>
      <w:proofErr w:type="gramEnd"/>
      <w:r>
        <w:t xml:space="preserve"> the younger data sets got </w:t>
      </w:r>
      <w:r>
        <w:lastRenderedPageBreak/>
        <w:t>corrected 0.3 permille which is the difference between Suess Effect in 1997 and 2006 according to \</w:t>
      </w:r>
      <w:proofErr w:type="gramStart"/>
      <w:r>
        <w:t>cite{</w:t>
      </w:r>
      <w:r w:rsidRPr="009711B5">
        <w:t xml:space="preserve"> </w:t>
      </w:r>
      <w:r w:rsidRPr="00742D1A">
        <w:t>linsley</w:t>
      </w:r>
      <w:proofErr w:type="gramEnd"/>
      <w:r w:rsidRPr="00742D1A">
        <w:t>2019</w:t>
      </w:r>
      <w:proofErr w:type="gramStart"/>
      <w:r w:rsidRPr="00742D1A">
        <w:t xml:space="preserve">coral </w:t>
      </w:r>
      <w:r>
        <w:t>}</w:t>
      </w:r>
      <w:proofErr w:type="gramEnd"/>
      <w:r>
        <w:t xml:space="preserve">. </w:t>
      </w:r>
    </w:p>
    <w:p w14:paraId="7A3D16A3" w14:textId="712D3059" w:rsidR="002C5E42" w:rsidRDefault="002C5E42" w:rsidP="00054F13">
      <w:r>
        <w:t xml:space="preserve">Path H from the second drilling campaign is included with the 1995-2000 results, similarly the only Path (F) from the first drilling campaign is added with 2005-2006. </w:t>
      </w:r>
    </w:p>
    <w:p w14:paraId="59FF7FF7" w14:textId="4779C768" w:rsidR="009711B5" w:rsidRDefault="009711B5" w:rsidP="00054F13">
      <w:r>
        <w:t>%Maybe,</w:t>
      </w:r>
    </w:p>
    <w:p w14:paraId="4659BB8F" w14:textId="4F5B4011" w:rsidR="004B547A" w:rsidRDefault="009711B5" w:rsidP="00054F13">
      <w:r>
        <w:t>%</w:t>
      </w:r>
      <w:r w:rsidR="004B547A">
        <w:t xml:space="preserve">However, it should be noted that the sampling of the younger parts of the coral intersects with the bioturbated die down surface. </w:t>
      </w:r>
      <w:proofErr w:type="gramStart"/>
      <w:r w:rsidR="004B547A">
        <w:t>Therefore</w:t>
      </w:r>
      <w:proofErr w:type="gramEnd"/>
      <w:r w:rsidR="004B547A">
        <w:t xml:space="preserve"> </w:t>
      </w:r>
      <w:r w:rsidR="008D304B">
        <w:t>the signals might be disturbed</w:t>
      </w:r>
      <w:r>
        <w:t>.</w:t>
      </w:r>
    </w:p>
    <w:p w14:paraId="09F8D576" w14:textId="78AD57A6" w:rsidR="002C5E42" w:rsidRDefault="00447994">
      <w:r>
        <w:t xml:space="preserve">The linear regression results </w:t>
      </w:r>
      <w:r w:rsidR="009711B5">
        <w:t>show a</w:t>
      </w:r>
      <w:r w:rsidR="002C5E42">
        <w:t xml:space="preserve"> general positive correlation between the \dec and the relative water depth. However, there is a clear increase in the variation with increased water depth. This could be explained with the seasonal temperature or salinity variations in higher depths. Another issue is the possible non-linearity of the curve </w:t>
      </w:r>
      <w:r w:rsidR="0046318F">
        <w:t>and there is too much variation for such small depths compared to \</w:t>
      </w:r>
      <w:proofErr w:type="gramStart"/>
      <w:r w:rsidR="0046318F">
        <w:t>cite{</w:t>
      </w:r>
      <w:r w:rsidR="0046318F" w:rsidRPr="0046318F">
        <w:t xml:space="preserve"> </w:t>
      </w:r>
      <w:r w:rsidR="0046318F" w:rsidRPr="00742D1A">
        <w:t>linsley</w:t>
      </w:r>
      <w:proofErr w:type="gramEnd"/>
      <w:r w:rsidR="0046318F" w:rsidRPr="00742D1A">
        <w:t>2019</w:t>
      </w:r>
      <w:proofErr w:type="gramStart"/>
      <w:r w:rsidR="0046318F" w:rsidRPr="00742D1A">
        <w:t xml:space="preserve">coral </w:t>
      </w:r>
      <w:r w:rsidR="0046318F">
        <w:t>}</w:t>
      </w:r>
      <w:proofErr w:type="gramEnd"/>
    </w:p>
    <w:p w14:paraId="6EF63A1E" w14:textId="77777777" w:rsidR="002C5E42" w:rsidRDefault="002C5E42"/>
    <w:p w14:paraId="3554BC3F" w14:textId="77777777" w:rsidR="002C5E42" w:rsidRDefault="002C5E42"/>
    <w:p w14:paraId="74716527" w14:textId="77777777" w:rsidR="002C5E42" w:rsidRDefault="002C5E42"/>
    <w:p w14:paraId="3A5DED20" w14:textId="77777777" w:rsidR="002C5E42" w:rsidRDefault="002C5E42"/>
    <w:p w14:paraId="0BC0E3CC" w14:textId="77777777" w:rsidR="002C5E42" w:rsidRDefault="002C5E42"/>
    <w:p w14:paraId="65257808" w14:textId="77777777" w:rsidR="002C5E42" w:rsidRDefault="002C5E42"/>
    <w:p w14:paraId="261F81BD" w14:textId="77777777" w:rsidR="002C5E42" w:rsidRDefault="002C5E42"/>
    <w:p w14:paraId="32D75759" w14:textId="697AC68A" w:rsidR="002C5E42" w:rsidRDefault="000E5827">
      <w:r>
        <w:br w:type="page"/>
      </w:r>
    </w:p>
    <w:p w14:paraId="5C003411" w14:textId="4589A6A7" w:rsidR="00742D1A" w:rsidRDefault="00742D1A" w:rsidP="00742D1A">
      <w:pPr>
        <w:pStyle w:val="Heading2"/>
      </w:pPr>
      <w:r>
        <w:lastRenderedPageBreak/>
        <w:t>Suess Effect</w:t>
      </w:r>
    </w:p>
    <w:p w14:paraId="50B525CC" w14:textId="3FE0A479" w:rsidR="00742D1A" w:rsidRPr="00742D1A" w:rsidRDefault="00742D1A">
      <w:r>
        <w:t>\</w:t>
      </w:r>
      <w:proofErr w:type="gramStart"/>
      <w:r>
        <w:t>cite{</w:t>
      </w:r>
      <w:r w:rsidRPr="00742D1A">
        <w:t xml:space="preserve"> linsley</w:t>
      </w:r>
      <w:proofErr w:type="gramEnd"/>
      <w:r w:rsidRPr="00742D1A">
        <w:t>2019</w:t>
      </w:r>
      <w:proofErr w:type="gramStart"/>
      <w:r w:rsidRPr="00742D1A">
        <w:t xml:space="preserve">coral </w:t>
      </w:r>
      <w:r>
        <w:t>}</w:t>
      </w:r>
      <w:proofErr w:type="gramEnd"/>
      <w:r>
        <w:t xml:space="preserve"> investigated the role of Suess Effect on coral skeletal \dec parallel to the role of relative water depth. They </w:t>
      </w:r>
      <w:r w:rsidRPr="00742D1A">
        <w:t>explicitly acknowledge that the decline in atmospheric $\delta^{</w:t>
      </w:r>
      <w:proofErr w:type="gramStart"/>
      <w:r w:rsidRPr="00742D1A">
        <w:t>13}\</w:t>
      </w:r>
      <w:proofErr w:type="gramEnd"/>
      <w:r w:rsidRPr="00742D1A">
        <w:t xml:space="preserve">text{C}$ values directly impacts surface ocean dissolved inorganic carbon (DIC) </w:t>
      </w:r>
      <w:r>
        <w:t>\dec</w:t>
      </w:r>
      <w:r w:rsidRPr="00742D1A">
        <w:t xml:space="preserve"> through the gas exchange of $\</w:t>
      </w:r>
      <w:proofErr w:type="gramStart"/>
      <w:r w:rsidRPr="00742D1A">
        <w:t>text{</w:t>
      </w:r>
      <w:proofErr w:type="gramEnd"/>
      <w:r w:rsidRPr="00742D1A">
        <w:t>CO}_2$, a process they define as the</w:t>
      </w:r>
      <w:r>
        <w:t xml:space="preserve"> “</w:t>
      </w:r>
      <w:r w:rsidRPr="00742D1A">
        <w:t>oceanic \dec Suess effect”. Thereby they simply subtract the amount of \dec caused by the Suess Effect from each sample. The authors recognize this as a methodological simplification rather than a perfect replication of local ocean chemistry. Yet they put forward three main arguments regarding this decision.</w:t>
      </w:r>
      <w:r>
        <w:rPr>
          <w:lang w:val="tr-TR"/>
        </w:rPr>
        <w:t xml:space="preserve"> </w:t>
      </w:r>
    </w:p>
    <w:p w14:paraId="65FEFD91" w14:textId="77777777" w:rsidR="00742D1A" w:rsidRDefault="00742D1A">
      <w:r w:rsidRPr="00742D1A">
        <w:t xml:space="preserve">Isolating Secular Trends: They argue that their composite average—which combines Pacific Island atmospheric data with Antarctic </w:t>
      </w:r>
      <w:proofErr w:type="spellStart"/>
      <w:r w:rsidRPr="00742D1A">
        <w:t>firn</w:t>
      </w:r>
      <w:proofErr w:type="spellEnd"/>
      <w:r w:rsidRPr="00742D1A">
        <w:t xml:space="preserve"> $\</w:t>
      </w:r>
      <w:proofErr w:type="gramStart"/>
      <w:r w:rsidRPr="00742D1A">
        <w:t>text{</w:t>
      </w:r>
      <w:proofErr w:type="gramEnd"/>
      <w:r w:rsidRPr="00742D1A">
        <w:t>CO}_2$ records—is representative of the &amp;</w:t>
      </w:r>
      <w:proofErr w:type="spellStart"/>
      <w:proofErr w:type="gramStart"/>
      <w:r w:rsidRPr="00742D1A">
        <w:t>quot;background</w:t>
      </w:r>
      <w:proofErr w:type="spellEnd"/>
      <w:proofErr w:type="gramEnd"/>
      <w:r w:rsidRPr="00742D1A">
        <w:t xml:space="preserve">, secular </w:t>
      </w:r>
      <w:proofErr w:type="spellStart"/>
      <w:r w:rsidRPr="00742D1A">
        <w:t>trend&amp;quot</w:t>
      </w:r>
      <w:proofErr w:type="spellEnd"/>
      <w:r w:rsidRPr="00742D1A">
        <w:t>; in $\delta^{</w:t>
      </w:r>
      <w:proofErr w:type="gramStart"/>
      <w:r w:rsidRPr="00742D1A">
        <w:t>13}\</w:t>
      </w:r>
      <w:proofErr w:type="gramEnd"/>
      <w:r w:rsidRPr="00742D1A">
        <w:t>text{C}$ at their study sites</w:t>
      </w:r>
    </w:p>
    <w:p w14:paraId="09096D89" w14:textId="77777777" w:rsidR="00742D1A" w:rsidRDefault="00742D1A">
      <w:r w:rsidRPr="00742D1A">
        <w:t>Restoring Data Utility: They observed that the Suess effect had &amp;</w:t>
      </w:r>
      <w:proofErr w:type="spellStart"/>
      <w:proofErr w:type="gramStart"/>
      <w:r w:rsidRPr="00742D1A">
        <w:t>quot;overwhelmed</w:t>
      </w:r>
      <w:proofErr w:type="gramEnd"/>
      <w:r w:rsidRPr="00742D1A">
        <w:t>&amp;quot</w:t>
      </w:r>
      <w:proofErr w:type="spellEnd"/>
      <w:r w:rsidRPr="00742D1A">
        <w:t>; the long-term relationship between coral extension rates and skeletal $\delta^{</w:t>
      </w:r>
      <w:proofErr w:type="gramStart"/>
      <w:r w:rsidRPr="00742D1A">
        <w:t>13}\</w:t>
      </w:r>
      <w:proofErr w:type="gramEnd"/>
      <w:r w:rsidRPr="00742D1A">
        <w:t xml:space="preserve">text{C}$ starting in the mid-20th </w:t>
      </w:r>
      <w:proofErr w:type="gramStart"/>
      <w:r w:rsidRPr="00742D1A">
        <w:t>century  4</w:t>
      </w:r>
      <w:proofErr w:type="gramEnd"/>
      <w:r w:rsidRPr="00742D1A">
        <w:t>. By subtracting this trend, they aimed to isolate the underlying biological signals—specifically how extension rate and metabolic effects modulate skeletal $\delta^{</w:t>
      </w:r>
      <w:proofErr w:type="gramStart"/>
      <w:r w:rsidRPr="00742D1A">
        <w:t>13}\</w:t>
      </w:r>
      <w:proofErr w:type="gramEnd"/>
      <w:r w:rsidRPr="00742D1A">
        <w:t xml:space="preserve">text{C}$—which had been obscured by the anthropogenic decline </w:t>
      </w:r>
    </w:p>
    <w:p w14:paraId="53DDFD6D" w14:textId="24EB538A" w:rsidR="00764741" w:rsidRDefault="00742D1A">
      <w:r w:rsidRPr="00742D1A">
        <w:t>Consistency: They found that removing the Suess effect lowered the overall correlations with extension rate only slightly, but provided a more consistent view of the historical relationship between coral growth and carbon isotopes  4.Ultimately, while the authors admit their method cannot capture every local nuance, they conclude that it effectively removes the background trend, allowing them to better assess the sensitivity of coral skeletal $\delta^{13}\text{C}$ to calcification processes</w:t>
      </w:r>
    </w:p>
    <w:p w14:paraId="6A31E1A4" w14:textId="77777777" w:rsidR="00742D1A" w:rsidRDefault="00742D1A"/>
    <w:p w14:paraId="1EFB198E" w14:textId="00E91016" w:rsidR="00742D1A" w:rsidRDefault="00742D1A">
      <w:r>
        <w:t xml:space="preserve">WHICH WE ALSO SHOULD MAYBE CONSIDER BECAUSE THEY ARE CORRECT. GROWTH RATE </w:t>
      </w:r>
      <w:r w:rsidR="00AA6857">
        <w:t>DOESN’T ALLIGN</w:t>
      </w:r>
    </w:p>
    <w:p w14:paraId="4D91E6A6" w14:textId="161108F3" w:rsidR="00764741" w:rsidRDefault="00764741" w:rsidP="00764741">
      <w:pPr>
        <w:pStyle w:val="Heading2"/>
      </w:pPr>
      <w:r>
        <w:t>Conclusion and Discussion</w:t>
      </w:r>
    </w:p>
    <w:p w14:paraId="78A46A2A" w14:textId="5C131E56" w:rsidR="002C28A3" w:rsidRDefault="00764741" w:rsidP="00764741">
      <w:r>
        <w:t>\</w:t>
      </w:r>
      <w:proofErr w:type="gramStart"/>
      <w:r>
        <w:t>dec</w:t>
      </w:r>
      <w:proofErr w:type="gramEnd"/>
      <w:r>
        <w:t xml:space="preserve"> is a complicated climate proxy and therefore not the most popular tool for </w:t>
      </w:r>
      <w:r w:rsidR="00AF40A4">
        <w:t>paleoclimate</w:t>
      </w:r>
      <w:r>
        <w:t xml:space="preserve"> research. </w:t>
      </w:r>
      <w:r w:rsidR="00AF40A4">
        <w:t>However</w:t>
      </w:r>
      <w:proofErr w:type="gramStart"/>
      <w:r w:rsidR="00AF40A4">
        <w:t>,</w:t>
      </w:r>
      <w:r>
        <w:t xml:space="preserve"> for</w:t>
      </w:r>
      <w:proofErr w:type="gramEnd"/>
      <w:r>
        <w:t xml:space="preserve"> geodetic research </w:t>
      </w:r>
      <w:proofErr w:type="gramStart"/>
      <w:r>
        <w:t>if</w:t>
      </w:r>
      <w:proofErr w:type="gramEnd"/>
      <w:r>
        <w:t xml:space="preserve"> not one of the many but the only proxy we can trust today. </w:t>
      </w:r>
      <w:r w:rsidR="002C28A3">
        <w:t>T</w:t>
      </w:r>
      <w:r>
        <w:t xml:space="preserve">he complexities bounded by </w:t>
      </w:r>
      <w:proofErr w:type="gramStart"/>
      <w:r>
        <w:t>the biology</w:t>
      </w:r>
      <w:proofErr w:type="gramEnd"/>
      <w:r>
        <w:t xml:space="preserve"> and marine geochemistry </w:t>
      </w:r>
      <w:proofErr w:type="gramStart"/>
      <w:r w:rsidR="002C28A3">
        <w:t>doesn’t</w:t>
      </w:r>
      <w:proofErr w:type="gramEnd"/>
      <w:r w:rsidR="002C28A3">
        <w:t xml:space="preserve"> </w:t>
      </w:r>
      <w:r w:rsidR="00AF40A4">
        <w:t>affect</w:t>
      </w:r>
      <w:r w:rsidR="002C28A3">
        <w:t xml:space="preserve"> the decadal trends as they do in monthly or annual periods. </w:t>
      </w:r>
    </w:p>
    <w:p w14:paraId="23ADB943" w14:textId="3E2DD803" w:rsidR="00764741" w:rsidRPr="00764741" w:rsidRDefault="002C28A3" w:rsidP="00764741">
      <w:r>
        <w:lastRenderedPageBreak/>
        <w:t>The only main issue regarding the proxy with the scope of these preliminary results is the variation of \dec-depth relationship in shallow water as well as the decimeter scale trends of the relationship. It is still unsure how exactly the \dec-</w:t>
      </w:r>
      <w:r w:rsidR="00AF40A4">
        <w:t xml:space="preserve">relative </w:t>
      </w:r>
      <w:r>
        <w:t xml:space="preserve">depth </w:t>
      </w:r>
      <w:r w:rsidR="00AF40A4">
        <w:t>conversion works</w:t>
      </w:r>
      <w:r>
        <w:t xml:space="preserve"> in less than 50 cm depths as well as</w:t>
      </w:r>
      <w:r w:rsidR="00AF40A4">
        <w:t xml:space="preserve"> greater depths below 3 m. The general </w:t>
      </w:r>
      <w:proofErr w:type="gramStart"/>
      <w:r w:rsidR="00AF40A4">
        <w:t>understanding</w:t>
      </w:r>
      <w:proofErr w:type="gramEnd"/>
      <w:r w:rsidR="00AF40A4">
        <w:t xml:space="preserve"> the prediction is that the relationship non-linear as well as the correlation could be reversed once the shallow depths are considered.</w:t>
      </w:r>
    </w:p>
    <w:p w14:paraId="0C688E6E" w14:textId="215FDA26" w:rsidR="005430C4" w:rsidRDefault="000E5827" w:rsidP="000E5827">
      <w:r>
        <w:t xml:space="preserve">After detecting climate driven annual and ENSO components of \dec observations and based on the depth-\dec relationship </w:t>
      </w:r>
      <w:r w:rsidR="005430C4">
        <w:t>observations I gathered, I</w:t>
      </w:r>
      <w:r>
        <w:t xml:space="preserve"> interpret the lowpass filtered decadal trends</w:t>
      </w:r>
      <w:r w:rsidR="005430C4">
        <w:t xml:space="preserve"> in \dec signal</w:t>
      </w:r>
      <w:r>
        <w:t xml:space="preserve"> as tectonic driven relative depth variations.</w:t>
      </w:r>
      <w:r w:rsidR="005430C4">
        <w:t xml:space="preserve"> Since there are no other forcings that would explain the coral skeletal \dec in such a long-term stable trend. The proximity of the coral to the trench is also a supporting factor that explains the amplitude of the rates we observe as well as the frequency of the changes in trends directions. One explanation of these trends could be the variation of coupling between the overriding and the subducting plate and that is causing decadal changes. So that would mean that the </w:t>
      </w:r>
      <w:r w:rsidR="00764741">
        <w:t>long-term</w:t>
      </w:r>
      <w:r w:rsidR="005430C4">
        <w:t xml:space="preserve"> uplift even</w:t>
      </w:r>
      <w:r w:rsidR="00F5259B">
        <w:t>ts are aseismic slips lasting for multiple years as \cite{</w:t>
      </w:r>
      <w:r w:rsidR="00F5259B" w:rsidRPr="00F5259B">
        <w:t>wallace2020slow</w:t>
      </w:r>
      <w:r w:rsidR="00F5259B">
        <w:t xml:space="preserve">} observed in </w:t>
      </w:r>
      <w:r w:rsidR="00F5259B" w:rsidRPr="00F5259B">
        <w:t>Hikurangi</w:t>
      </w:r>
      <w:r w:rsidR="00F5259B">
        <w:t xml:space="preserve"> Subduction Zone.</w:t>
      </w:r>
    </w:p>
    <w:p w14:paraId="226EBFF3" w14:textId="0B5100BB" w:rsidR="00764741" w:rsidRDefault="00764741" w:rsidP="00764741">
      <w:pPr>
        <w:pStyle w:val="Heading2"/>
      </w:pPr>
      <w:r>
        <w:t>summary</w:t>
      </w:r>
    </w:p>
    <w:p w14:paraId="2DFAA4B1" w14:textId="32938DDD" w:rsidR="005430C4" w:rsidRDefault="005430C4" w:rsidP="000E5827">
      <w:r>
        <w:t xml:space="preserve">The main </w:t>
      </w:r>
      <w:r w:rsidR="00764741">
        <w:t>evidence</w:t>
      </w:r>
      <w:r>
        <w:t xml:space="preserve"> to support the proxy:</w:t>
      </w:r>
    </w:p>
    <w:p w14:paraId="29F4BA37" w14:textId="2DB964C5" w:rsidR="005430C4" w:rsidRDefault="005430C4" w:rsidP="005430C4">
      <w:pPr>
        <w:pStyle w:val="ListParagraph"/>
        <w:numPr>
          <w:ilvl w:val="0"/>
          <w:numId w:val="3"/>
        </w:numPr>
      </w:pPr>
      <w:r>
        <w:t>The 2007 earthquake induced uplift and simultaneous rise in \dec</w:t>
      </w:r>
    </w:p>
    <w:p w14:paraId="2318A450" w14:textId="2299E322" w:rsidR="005430C4" w:rsidRDefault="005430C4" w:rsidP="005430C4">
      <w:pPr>
        <w:pStyle w:val="ListParagraph"/>
        <w:numPr>
          <w:ilvl w:val="0"/>
          <w:numId w:val="3"/>
        </w:numPr>
      </w:pPr>
      <w:r>
        <w:t>Strong correlation between the 12-SPL-A and 12-SP-A morphology and the filtered \dec signal</w:t>
      </w:r>
    </w:p>
    <w:p w14:paraId="3B75ACC4" w14:textId="4EC8F9B2" w:rsidR="005430C4" w:rsidRDefault="005430C4" w:rsidP="005430C4">
      <w:pPr>
        <w:pStyle w:val="ListParagraph"/>
        <w:numPr>
          <w:ilvl w:val="0"/>
          <w:numId w:val="3"/>
        </w:numPr>
      </w:pPr>
      <w:r>
        <w:t>The detailed analysis shown in preliminary results on separating the climate driven signals from the large frequency trends</w:t>
      </w:r>
    </w:p>
    <w:p w14:paraId="59175480" w14:textId="77777777" w:rsidR="005430C4" w:rsidRDefault="005430C4" w:rsidP="005430C4"/>
    <w:p w14:paraId="77EB6CA1" w14:textId="77777777" w:rsidR="005430C4" w:rsidRDefault="005430C4" w:rsidP="000E5827"/>
    <w:p w14:paraId="350588A8" w14:textId="2C98AB2B" w:rsidR="000E5827" w:rsidRDefault="005430C4" w:rsidP="000E5827">
      <w:r>
        <w:t xml:space="preserve"> The proximity of the coral to the trench as well as the</w:t>
      </w:r>
    </w:p>
    <w:p w14:paraId="39E06620" w14:textId="35B25971" w:rsidR="00803318" w:rsidRDefault="00384B82" w:rsidP="00803318">
      <w:pPr>
        <w:pStyle w:val="Heading2"/>
      </w:pPr>
      <w:r>
        <w:t>Research Package 1: Robustness and validation of d13c-RSL relationship.</w:t>
      </w:r>
    </w:p>
    <w:p w14:paraId="7DE4EA30" w14:textId="0E7386B5" w:rsidR="00803318" w:rsidRDefault="00803318" w:rsidP="00803318">
      <w:r>
        <w:t xml:space="preserve">On top of all the primary results I have I am planning to expand it </w:t>
      </w:r>
      <w:proofErr w:type="spellStart"/>
      <w:r>
        <w:t>furt</w:t>
      </w:r>
      <w:proofErr w:type="spellEnd"/>
    </w:p>
    <w:p w14:paraId="7D22D5E1" w14:textId="77777777" w:rsidR="00803318" w:rsidRPr="00803318" w:rsidRDefault="00803318" w:rsidP="00803318"/>
    <w:p w14:paraId="601E4DFB" w14:textId="7CB9554F" w:rsidR="00384B82" w:rsidRDefault="00384B82" w:rsidP="006567E0">
      <w:pPr>
        <w:pStyle w:val="Heading2"/>
      </w:pPr>
      <w:r>
        <w:lastRenderedPageBreak/>
        <w:t>Research Package 2: Further analysis and validation by adjacent corals as well as literature research</w:t>
      </w:r>
    </w:p>
    <w:p w14:paraId="2B7D6BFC" w14:textId="77777777" w:rsidR="00E63B63" w:rsidRDefault="00803318" w:rsidP="00803318">
      <w:r>
        <w:t xml:space="preserve">To validate our results our first focus will be on the twin coral 12-SP-A. The slabs are prepared (1-2 cm thickness) and are located at UTIG warehouse in PICKLE Campus. </w:t>
      </w:r>
      <w:proofErr w:type="gramStart"/>
      <w:r>
        <w:t>After  the</w:t>
      </w:r>
      <w:proofErr w:type="gramEnd"/>
      <w:r>
        <w:t xml:space="preserve"> sampling and analysis experience on 12-SPL-A, I am aware of the importance of prior planning. There are crucial </w:t>
      </w:r>
      <w:proofErr w:type="gramStart"/>
      <w:r>
        <w:t>points</w:t>
      </w:r>
      <w:proofErr w:type="gramEnd"/>
      <w:r>
        <w:t xml:space="preserve"> need to be </w:t>
      </w:r>
      <w:r w:rsidR="001E09DE">
        <w:t xml:space="preserve">considered before and after sampling. </w:t>
      </w:r>
      <w:proofErr w:type="gramStart"/>
      <w:r w:rsidR="001E09DE">
        <w:t>First of all</w:t>
      </w:r>
      <w:proofErr w:type="gramEnd"/>
      <w:r w:rsidR="001E09DE">
        <w:t xml:space="preserve">, with the help of new and </w:t>
      </w:r>
      <w:proofErr w:type="spellStart"/>
      <w:r w:rsidR="001E09DE">
        <w:t>digitlized</w:t>
      </w:r>
      <w:proofErr w:type="spellEnd"/>
      <w:r w:rsidR="001E09DE">
        <w:t xml:space="preserve"> X-Ray machine UTIG </w:t>
      </w:r>
      <w:proofErr w:type="spellStart"/>
      <w:r w:rsidR="001E09DE">
        <w:t>posses</w:t>
      </w:r>
      <w:proofErr w:type="spellEnd"/>
      <w:r w:rsidR="001E09DE">
        <w:t xml:space="preserve">, all the X-Ray images should be standardized, such that all the images should have same scale and resolution which eliminates the time loss while patching them digitally. Once the X-Ray images are gathered the drilling path should be determined based on the growth axis and avoiding any bioturbated areas. Once the paths are picked </w:t>
      </w:r>
      <w:proofErr w:type="gramStart"/>
      <w:r w:rsidR="001E09DE">
        <w:t>digitally</w:t>
      </w:r>
      <w:proofErr w:type="gramEnd"/>
      <w:r w:rsidR="001E09DE">
        <w:t xml:space="preserve"> they need to be marked on the coral slab physica</w:t>
      </w:r>
      <w:r w:rsidR="00E63B63">
        <w:t>l</w:t>
      </w:r>
      <w:r w:rsidR="001E09DE">
        <w:t>l</w:t>
      </w:r>
      <w:r w:rsidR="00E63B63">
        <w:t>y</w:t>
      </w:r>
      <w:r w:rsidR="001E09DE">
        <w:t xml:space="preserve"> in </w:t>
      </w:r>
      <w:r w:rsidR="00E63B63">
        <w:t>s</w:t>
      </w:r>
      <w:r w:rsidR="001E09DE">
        <w:t>uch a way that it shouldn’t be changed during the drilling prosses.</w:t>
      </w:r>
    </w:p>
    <w:p w14:paraId="29C7DF8A" w14:textId="1EC2432B" w:rsidR="00E63B63" w:rsidRDefault="00E63B63" w:rsidP="00803318">
      <w:r>
        <w:t xml:space="preserve">After the first age model, it becomes </w:t>
      </w:r>
      <w:proofErr w:type="gramStart"/>
      <w:r>
        <w:t>cleat</w:t>
      </w:r>
      <w:proofErr w:type="gramEnd"/>
      <w:r>
        <w:t xml:space="preserve"> for a high precision age model a higher sampling rate is necessary. 1.5 mm drilling length should be shortened to 1.0 mm, which leads to longer time spent on lab and increased costs for lab analysis. Yet we can sample partially with 1mm and partially with 1.5 to reduce the costs and save the drilling time. After the sampling the slabs should be X-Ray scanned once again with the standards used before the sampling, so the locations of the sampling paths are also digitalized easily.   </w:t>
      </w:r>
    </w:p>
    <w:p w14:paraId="5C1567FD" w14:textId="7458198C" w:rsidR="00E63B63" w:rsidRDefault="00E63B63" w:rsidP="00803318">
      <w:r>
        <w:t xml:space="preserve">On top of the \dec and \deo, this time Sr/Ca could be also analyzed to increase the accuracy of the age model as well as distinguishing climatic effects from tectonics. Since 12-SP-A was settled shallower than 12-SPL-A I expect to get a in average more positive \dec values as well as higher variation due to any vertical motion, since the upper water column has much larger change of light intensity per unit distance compared to deeper parts. </w:t>
      </w:r>
      <w:r w:rsidR="00CB4021">
        <w:t xml:space="preserve">At </w:t>
      </w:r>
      <w:r w:rsidR="006518A1">
        <w:t>first</w:t>
      </w:r>
      <w:r w:rsidR="00CB4021">
        <w:t xml:space="preserve"> glance the general trend should look alike as their morphologies do. </w:t>
      </w:r>
      <w:r w:rsidR="00C81408">
        <w:t>\</w:t>
      </w:r>
      <w:proofErr w:type="gramStart"/>
      <w:r w:rsidR="00C81408">
        <w:t>deo</w:t>
      </w:r>
      <w:proofErr w:type="gramEnd"/>
      <w:r w:rsidR="00C81408">
        <w:t xml:space="preserve"> values should be aligned much </w:t>
      </w:r>
      <w:r w:rsidR="006518A1">
        <w:t>better,</w:t>
      </w:r>
      <w:r w:rsidR="00C81408">
        <w:t xml:space="preserve"> most probably with a constant offset and that should save a significant time with the age modelling. </w:t>
      </w:r>
    </w:p>
    <w:p w14:paraId="46DE7375" w14:textId="77777777" w:rsidR="004976F2" w:rsidRDefault="004976F2" w:rsidP="004976F2"/>
    <w:p w14:paraId="5F00334F" w14:textId="77777777" w:rsidR="004976F2" w:rsidRPr="004976F2" w:rsidRDefault="004976F2" w:rsidP="004976F2">
      <w:pPr>
        <w:rPr>
          <w:color w:val="215E99" w:themeColor="text2" w:themeTint="BF"/>
        </w:rPr>
      </w:pPr>
      <w:r w:rsidRPr="004976F2">
        <w:rPr>
          <w:color w:val="215E99" w:themeColor="text2" w:themeTint="BF"/>
        </w:rPr>
        <w:t>To validate the results obtained from 12-SPL-A, the first focus of the next phase will be the twin coral 12-SP-A. The prepared slabs (</w:t>
      </w:r>
      <w:proofErr w:type="gramStart"/>
      <w:r w:rsidRPr="004976F2">
        <w:rPr>
          <w:color w:val="215E99" w:themeColor="text2" w:themeTint="BF"/>
        </w:rPr>
        <w:t>1--2</w:t>
      </w:r>
      <w:proofErr w:type="gramEnd"/>
      <w:r w:rsidRPr="004976F2">
        <w:rPr>
          <w:color w:val="215E99" w:themeColor="text2" w:themeTint="BF"/>
        </w:rPr>
        <w:t>~cm thickness) are currently stored at the UTIG warehouse on the Pickle Research Campus. Based on the sampling and analysis experience gained from 12-SPL-A, several preparatory steps are essential before drilling begins.</w:t>
      </w:r>
    </w:p>
    <w:p w14:paraId="25BD3571" w14:textId="77777777" w:rsidR="004976F2" w:rsidRPr="004976F2" w:rsidRDefault="004976F2" w:rsidP="004976F2">
      <w:pPr>
        <w:rPr>
          <w:color w:val="215E99" w:themeColor="text2" w:themeTint="BF"/>
        </w:rPr>
      </w:pPr>
    </w:p>
    <w:p w14:paraId="66B7FE6C" w14:textId="77777777" w:rsidR="004976F2" w:rsidRPr="004976F2" w:rsidRDefault="004976F2" w:rsidP="004976F2">
      <w:pPr>
        <w:rPr>
          <w:color w:val="215E99" w:themeColor="text2" w:themeTint="BF"/>
        </w:rPr>
      </w:pPr>
      <w:r w:rsidRPr="004976F2">
        <w:rPr>
          <w:color w:val="215E99" w:themeColor="text2" w:themeTint="BF"/>
        </w:rPr>
        <w:lastRenderedPageBreak/>
        <w:t xml:space="preserve">First, all X-ray images must be acquired and </w:t>
      </w:r>
      <w:proofErr w:type="spellStart"/>
      <w:r w:rsidRPr="004976F2">
        <w:rPr>
          <w:color w:val="215E99" w:themeColor="text2" w:themeTint="BF"/>
        </w:rPr>
        <w:t>standardised</w:t>
      </w:r>
      <w:proofErr w:type="spellEnd"/>
      <w:r w:rsidRPr="004976F2">
        <w:rPr>
          <w:color w:val="215E99" w:themeColor="text2" w:themeTint="BF"/>
        </w:rPr>
        <w:t xml:space="preserve"> using the newly </w:t>
      </w:r>
      <w:proofErr w:type="spellStart"/>
      <w:r w:rsidRPr="004976F2">
        <w:rPr>
          <w:color w:val="215E99" w:themeColor="text2" w:themeTint="BF"/>
        </w:rPr>
        <w:t>digitised</w:t>
      </w:r>
      <w:proofErr w:type="spellEnd"/>
      <w:r w:rsidRPr="004976F2">
        <w:rPr>
          <w:color w:val="215E99" w:themeColor="text2" w:themeTint="BF"/>
        </w:rPr>
        <w:t xml:space="preserve"> X-ray machine at UTIG, ensuring consistent scale and resolution across all slab sections to </w:t>
      </w:r>
      <w:proofErr w:type="spellStart"/>
      <w:r w:rsidRPr="004976F2">
        <w:rPr>
          <w:color w:val="215E99" w:themeColor="text2" w:themeTint="BF"/>
        </w:rPr>
        <w:t>minimise</w:t>
      </w:r>
      <w:proofErr w:type="spellEnd"/>
      <w:r w:rsidRPr="004976F2">
        <w:rPr>
          <w:color w:val="215E99" w:themeColor="text2" w:themeTint="BF"/>
        </w:rPr>
        <w:t xml:space="preserve"> time loss during digital registration.</w:t>
      </w:r>
    </w:p>
    <w:p w14:paraId="3BA8754A" w14:textId="77777777" w:rsidR="004976F2" w:rsidRPr="004976F2" w:rsidRDefault="004976F2" w:rsidP="004976F2">
      <w:pPr>
        <w:rPr>
          <w:color w:val="215E99" w:themeColor="text2" w:themeTint="BF"/>
        </w:rPr>
      </w:pPr>
      <w:r w:rsidRPr="004976F2">
        <w:rPr>
          <w:color w:val="215E99" w:themeColor="text2" w:themeTint="BF"/>
        </w:rPr>
        <w:t>Once the X-ray images are obtained, drilling paths should be determined based on the growth axis, explicitly avoiding bioturbated regions. After the paths are selected digitally, they must be physically marked on the slab in a way that remains stable throughout the drilling process.</w:t>
      </w:r>
    </w:p>
    <w:p w14:paraId="48A85B9E" w14:textId="77777777" w:rsidR="004976F2" w:rsidRPr="004976F2" w:rsidRDefault="004976F2" w:rsidP="004976F2">
      <w:pPr>
        <w:rPr>
          <w:color w:val="215E99" w:themeColor="text2" w:themeTint="BF"/>
        </w:rPr>
      </w:pPr>
    </w:p>
    <w:p w14:paraId="7DCF9E07" w14:textId="77777777" w:rsidR="004976F2" w:rsidRPr="004976F2" w:rsidRDefault="004976F2" w:rsidP="004976F2">
      <w:pPr>
        <w:rPr>
          <w:color w:val="215E99" w:themeColor="text2" w:themeTint="BF"/>
        </w:rPr>
      </w:pPr>
      <w:r w:rsidRPr="004976F2">
        <w:rPr>
          <w:color w:val="215E99" w:themeColor="text2" w:themeTint="BF"/>
        </w:rPr>
        <w:t xml:space="preserve">Based on the age model developed for 12-SPL-A, </w:t>
      </w:r>
      <w:proofErr w:type="gramStart"/>
      <w:r w:rsidRPr="004976F2">
        <w:rPr>
          <w:color w:val="215E99" w:themeColor="text2" w:themeTint="BF"/>
        </w:rPr>
        <w:t>it is clear that a</w:t>
      </w:r>
      <w:proofErr w:type="gramEnd"/>
      <w:r w:rsidRPr="004976F2">
        <w:rPr>
          <w:color w:val="215E99" w:themeColor="text2" w:themeTint="BF"/>
        </w:rPr>
        <w:t xml:space="preserve"> higher sampling resolution is necessary for improved chronological precision. The drilling interval should therefore be reduced from 1.5~mm to 1.0~mm, which increases both laboratory time and analysis costs. A practical compromise is to apply the finer 1.0~mm spacing selectively --- for example, across intervals of </w:t>
      </w:r>
      <w:proofErr w:type="gramStart"/>
      <w:r w:rsidRPr="004976F2">
        <w:rPr>
          <w:color w:val="215E99" w:themeColor="text2" w:themeTint="BF"/>
        </w:rPr>
        <w:t>particular tectonic</w:t>
      </w:r>
      <w:proofErr w:type="gramEnd"/>
      <w:r w:rsidRPr="004976F2">
        <w:rPr>
          <w:color w:val="215E99" w:themeColor="text2" w:themeTint="BF"/>
        </w:rPr>
        <w:t xml:space="preserve"> interest --- while retaining 1.5~mm spacing elsewhere. After sampling, the slabs should be X-ray scanned again using the same </w:t>
      </w:r>
      <w:proofErr w:type="spellStart"/>
      <w:r w:rsidRPr="004976F2">
        <w:rPr>
          <w:color w:val="215E99" w:themeColor="text2" w:themeTint="BF"/>
        </w:rPr>
        <w:t>standardised</w:t>
      </w:r>
      <w:proofErr w:type="spellEnd"/>
      <w:r w:rsidRPr="004976F2">
        <w:rPr>
          <w:color w:val="215E99" w:themeColor="text2" w:themeTint="BF"/>
        </w:rPr>
        <w:t xml:space="preserve"> settings, so that the positions of the drilled paths are precisely </w:t>
      </w:r>
      <w:proofErr w:type="spellStart"/>
      <w:r w:rsidRPr="004976F2">
        <w:rPr>
          <w:color w:val="215E99" w:themeColor="text2" w:themeTint="BF"/>
        </w:rPr>
        <w:t>digitised</w:t>
      </w:r>
      <w:proofErr w:type="spellEnd"/>
      <w:r w:rsidRPr="004976F2">
        <w:rPr>
          <w:color w:val="215E99" w:themeColor="text2" w:themeTint="BF"/>
        </w:rPr>
        <w:t xml:space="preserve"> for the final age model.</w:t>
      </w:r>
    </w:p>
    <w:p w14:paraId="20EE6662" w14:textId="77777777" w:rsidR="004976F2" w:rsidRPr="004976F2" w:rsidRDefault="004976F2" w:rsidP="004976F2">
      <w:pPr>
        <w:rPr>
          <w:color w:val="215E99" w:themeColor="text2" w:themeTint="BF"/>
        </w:rPr>
      </w:pPr>
    </w:p>
    <w:p w14:paraId="74DA908B" w14:textId="77777777" w:rsidR="004976F2" w:rsidRPr="004976F2" w:rsidRDefault="004976F2" w:rsidP="004976F2">
      <w:pPr>
        <w:rPr>
          <w:color w:val="215E99" w:themeColor="text2" w:themeTint="BF"/>
        </w:rPr>
      </w:pPr>
      <w:r w:rsidRPr="004976F2">
        <w:rPr>
          <w:color w:val="215E99" w:themeColor="text2" w:themeTint="BF"/>
        </w:rPr>
        <w:t>In addition to \dec and \deo, Sr/Ca ratios will be measured to improve the accuracy of the age model and to better separate climatic from tectonic signals. Because 12-SP-A was living at a shallower depth than</w:t>
      </w:r>
    </w:p>
    <w:p w14:paraId="28AA025D" w14:textId="7FE8279E" w:rsidR="000F3458" w:rsidRPr="004976F2" w:rsidRDefault="004976F2" w:rsidP="004976F2">
      <w:pPr>
        <w:rPr>
          <w:color w:val="215E99" w:themeColor="text2" w:themeTint="BF"/>
        </w:rPr>
      </w:pPr>
      <w:r w:rsidRPr="004976F2">
        <w:rPr>
          <w:color w:val="215E99" w:themeColor="text2" w:themeTint="BF"/>
        </w:rPr>
        <w:t>12-SPL-A, its \dec values are expected to be more positive on average and to show greater variability in response to vertical motion, since light intensity changes more steeply per unit depth in the upper water column. At first order, the long-term \dec trend should resemble that of 12-SPL-A, consistent with the similar morphological histories of the two corals. The \deo records are also expected to agree closely, most likely with a near-constant offset, which should considerably simplify the age modelling of 12-SP-A.</w:t>
      </w:r>
    </w:p>
    <w:p w14:paraId="5A9A7A97" w14:textId="77777777" w:rsidR="000F3458" w:rsidRDefault="000F3458" w:rsidP="00803318"/>
    <w:p w14:paraId="0BD14CFF" w14:textId="42D546FC" w:rsidR="006518A1" w:rsidRDefault="006518A1" w:rsidP="00803318">
      <w:r>
        <w:t>In the literature there are many \dec time series available from different regions of the earth.</w:t>
      </w:r>
    </w:p>
    <w:p w14:paraId="5CD81490" w14:textId="77777777" w:rsidR="00803318" w:rsidRDefault="00803318" w:rsidP="00803318"/>
    <w:p w14:paraId="0313D2E1" w14:textId="77777777" w:rsidR="00803318" w:rsidRDefault="00803318" w:rsidP="00803318"/>
    <w:p w14:paraId="4D77ACA1" w14:textId="47B4EDCE" w:rsidR="00803318" w:rsidRPr="00803318" w:rsidRDefault="00803318" w:rsidP="00803318">
      <w:r>
        <w:t xml:space="preserve"> will be sampled and analyzed.</w:t>
      </w:r>
    </w:p>
    <w:p w14:paraId="05A275DF" w14:textId="7B4FAF5F" w:rsidR="00384B82" w:rsidRDefault="00384B82" w:rsidP="006567E0">
      <w:pPr>
        <w:pStyle w:val="Heading2"/>
      </w:pPr>
      <w:r>
        <w:lastRenderedPageBreak/>
        <w:t xml:space="preserve">Research Package 3: Understanding the patterns we see in corals for </w:t>
      </w:r>
      <w:proofErr w:type="spellStart"/>
      <w:r>
        <w:t>interseismic</w:t>
      </w:r>
      <w:proofErr w:type="spellEnd"/>
      <w:r>
        <w:t xml:space="preserve"> events focusing on </w:t>
      </w:r>
      <w:proofErr w:type="spellStart"/>
      <w:r>
        <w:t>Neotectonic</w:t>
      </w:r>
      <w:proofErr w:type="spellEnd"/>
      <w:r>
        <w:t xml:space="preserve"> observations: NISAR, GPS </w:t>
      </w:r>
    </w:p>
    <w:p w14:paraId="1930F93B" w14:textId="14BD9BD9" w:rsidR="0047108C" w:rsidRDefault="0047108C" w:rsidP="0047108C">
      <w:r>
        <w:t xml:space="preserve">Recent geodetic observations are crucial for any </w:t>
      </w:r>
      <w:proofErr w:type="spellStart"/>
      <w:r>
        <w:t>neotectonic</w:t>
      </w:r>
      <w:proofErr w:type="spellEnd"/>
      <w:r>
        <w:t xml:space="preserve"> research. The lack of any permanent GPS station on NGG leads to more lending on </w:t>
      </w:r>
      <w:r w:rsidR="0093340A">
        <w:t>satellite-based</w:t>
      </w:r>
      <w:r>
        <w:t xml:space="preserve"> data sets, especially InSAR. </w:t>
      </w:r>
    </w:p>
    <w:p w14:paraId="0EDCC4F6" w14:textId="1A0AD965" w:rsidR="0047108C" w:rsidRDefault="0047108C" w:rsidP="0047108C">
      <w:r>
        <w:t xml:space="preserve">The recent launch of NISAR </w:t>
      </w:r>
      <w:r w:rsidR="0093340A">
        <w:t xml:space="preserve">was successful and the project was able to collect data since 2025 October (however it is unclear if that’s valid for the NGG). Third research package will mostly </w:t>
      </w:r>
      <w:proofErr w:type="gramStart"/>
      <w:r w:rsidR="0093340A">
        <w:t>based</w:t>
      </w:r>
      <w:proofErr w:type="gramEnd"/>
      <w:r w:rsidR="0093340A">
        <w:t xml:space="preserve"> on NISAR data analysis about the </w:t>
      </w:r>
      <w:proofErr w:type="spellStart"/>
      <w:r w:rsidR="0093340A">
        <w:t>neotectonic</w:t>
      </w:r>
      <w:proofErr w:type="spellEnd"/>
      <w:r w:rsidR="0093340A">
        <w:t xml:space="preserve"> motions of NGG. The </w:t>
      </w:r>
      <w:proofErr w:type="gramStart"/>
      <w:r w:rsidR="0093340A">
        <w:t>main focus</w:t>
      </w:r>
      <w:proofErr w:type="gramEnd"/>
      <w:r w:rsidR="0093340A">
        <w:t xml:space="preserve"> will be any </w:t>
      </w:r>
      <w:proofErr w:type="gramStart"/>
      <w:r w:rsidR="0093340A">
        <w:t>long term</w:t>
      </w:r>
      <w:proofErr w:type="gramEnd"/>
      <w:r w:rsidR="0093340A">
        <w:t xml:space="preserve"> signal that mimics the decadal motions we observe in \dec signal. </w:t>
      </w:r>
    </w:p>
    <w:p w14:paraId="38C95385" w14:textId="6DD96C65" w:rsidR="000E5827" w:rsidRDefault="00103D90" w:rsidP="0047108C">
      <w:r>
        <w:t>\</w:t>
      </w:r>
      <w:proofErr w:type="spellStart"/>
      <w:proofErr w:type="gramStart"/>
      <w:r>
        <w:t>citep</w:t>
      </w:r>
      <w:proofErr w:type="spellEnd"/>
      <w:proofErr w:type="gramEnd"/>
      <w:r>
        <w:t>{</w:t>
      </w:r>
      <w:r w:rsidRPr="00103D90">
        <w:t>kuo2016characteristics</w:t>
      </w:r>
      <w:r>
        <w:t>} conducted the first GPS measurement campaign on NGG between 2011-2014 with 10 GPS stations.</w:t>
      </w:r>
      <w:r w:rsidR="00200436">
        <w:t xml:space="preserve"> SIBO station was located on Simbo Island which lies on the other side of the trench on the subducting </w:t>
      </w:r>
      <w:r w:rsidR="0089121E">
        <w:t>plate,</w:t>
      </w:r>
      <w:r w:rsidR="00200436">
        <w:t xml:space="preserve"> and this enables a rare opportunity to detect the coupling in a geodetic data that two </w:t>
      </w:r>
      <w:r w:rsidR="0089121E">
        <w:t>stations</w:t>
      </w:r>
      <w:r w:rsidR="00200436">
        <w:t xml:space="preserve"> on different sides of the trench being </w:t>
      </w:r>
      <w:r w:rsidR="00277D3F">
        <w:t xml:space="preserve">13 </w:t>
      </w:r>
      <w:r w:rsidR="00200436">
        <w:t xml:space="preserve">km </w:t>
      </w:r>
      <w:r w:rsidR="00277D3F">
        <w:t>apart</w:t>
      </w:r>
      <w:r w:rsidR="00200436">
        <w:t>. The observations clearly indicate a coupling between the upper and lower plate</w:t>
      </w:r>
      <w:r w:rsidR="0089121E">
        <w:t xml:space="preserve"> for 2011-2014 and the coupling gets looser for the station further away from the trench as well as the</w:t>
      </w:r>
      <w:r w:rsidR="000E5827">
        <w:t xml:space="preserve"> TEPA</w:t>
      </w:r>
      <w:r w:rsidR="0089121E">
        <w:t xml:space="preserve"> station close</w:t>
      </w:r>
      <w:r w:rsidR="000E5827">
        <w:t>st</w:t>
      </w:r>
      <w:r w:rsidR="0089121E">
        <w:t xml:space="preserve"> to the 2010 earthquake epicenter. </w:t>
      </w:r>
      <w:r w:rsidR="000E5827">
        <w:t>Same results are observed in the vertical motions, n</w:t>
      </w:r>
      <w:r>
        <w:t xml:space="preserve">early all the stations except </w:t>
      </w:r>
      <w:r w:rsidR="000E5827">
        <w:t>TEPA</w:t>
      </w:r>
      <w:r w:rsidR="007B3D36">
        <w:t xml:space="preserve"> show a subsidence trend up to 23.2 +- 1.4 mm/</w:t>
      </w:r>
      <w:r w:rsidR="000E5827">
        <w:t>a and</w:t>
      </w:r>
      <w:r w:rsidR="007B3D36">
        <w:t xml:space="preserve"> </w:t>
      </w:r>
      <w:r w:rsidR="000E5827">
        <w:t>TEPA</w:t>
      </w:r>
      <w:r w:rsidR="00200436">
        <w:t xml:space="preserve"> show 25.1 +- 3.3 mm/a uplift. </w:t>
      </w:r>
    </w:p>
    <w:p w14:paraId="496022DE" w14:textId="09601983" w:rsidR="000E5827" w:rsidRPr="0047108C" w:rsidRDefault="000E5827" w:rsidP="0047108C">
      <w:r>
        <w:t xml:space="preserve">NISAR data collected from the region will enable us to observe the spatial distribution of LOS deformation rates which are not same as pure vertical or horizontal rates. However, it is cost and time efficient research compared to any year-long GPS campaign. The region has a strong </w:t>
      </w:r>
    </w:p>
    <w:p w14:paraId="18277F0D" w14:textId="6709AAA4" w:rsidR="00C27C0F" w:rsidRDefault="00C27C0F" w:rsidP="00C27C0F">
      <w:pPr>
        <w:pStyle w:val="Heading2"/>
      </w:pPr>
      <w:r>
        <w:t>Outcome of Research</w:t>
      </w:r>
    </w:p>
    <w:p w14:paraId="663AFF30" w14:textId="7529B7D4" w:rsidR="00C27C0F" w:rsidRDefault="00C27C0F" w:rsidP="00C27C0F">
      <w:pPr>
        <w:pStyle w:val="Heading2"/>
      </w:pPr>
      <w:r>
        <w:t>Budget</w:t>
      </w:r>
    </w:p>
    <w:p w14:paraId="6DD154E4" w14:textId="541DD955" w:rsidR="00384B82" w:rsidRDefault="00C27C0F" w:rsidP="00C27C0F">
      <w:pPr>
        <w:pStyle w:val="Heading2"/>
      </w:pPr>
      <w:r>
        <w:t xml:space="preserve">Workplan &amp; </w:t>
      </w:r>
      <w:r w:rsidR="00384B82">
        <w:t>Timeline</w:t>
      </w:r>
    </w:p>
    <w:p w14:paraId="7788BF3F" w14:textId="77777777" w:rsidR="00C27C0F" w:rsidRDefault="00C27C0F" w:rsidP="00384B82"/>
    <w:p w14:paraId="03874560" w14:textId="77777777" w:rsidR="00384B82" w:rsidRPr="00384B82" w:rsidRDefault="00384B82" w:rsidP="00384B82"/>
    <w:p w14:paraId="6D00223C" w14:textId="77777777" w:rsidR="00443498" w:rsidRDefault="00443498" w:rsidP="00D56017">
      <w:pPr>
        <w:spacing w:line="240" w:lineRule="auto"/>
        <w:rPr>
          <w:color w:val="156082" w:themeColor="accent1"/>
        </w:rPr>
      </w:pPr>
    </w:p>
    <w:p w14:paraId="4026DE70" w14:textId="77777777" w:rsidR="00443498" w:rsidRDefault="00443498" w:rsidP="00D56017">
      <w:pPr>
        <w:spacing w:line="240" w:lineRule="auto"/>
        <w:rPr>
          <w:color w:val="156082" w:themeColor="accent1"/>
        </w:rPr>
      </w:pPr>
    </w:p>
    <w:p w14:paraId="63F0AA88" w14:textId="77777777" w:rsidR="00825732" w:rsidRDefault="00825732" w:rsidP="00D56017">
      <w:pPr>
        <w:spacing w:line="240" w:lineRule="auto"/>
        <w:rPr>
          <w:color w:val="156082" w:themeColor="accent1"/>
        </w:rPr>
      </w:pPr>
    </w:p>
    <w:p w14:paraId="30D2A4DD" w14:textId="77777777" w:rsidR="003C7A59" w:rsidRDefault="003C7A59" w:rsidP="00D56017">
      <w:pPr>
        <w:spacing w:line="240" w:lineRule="auto"/>
        <w:rPr>
          <w:color w:val="156082" w:themeColor="accent1"/>
        </w:rPr>
      </w:pPr>
    </w:p>
    <w:sectPr w:rsidR="003C7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5AB5"/>
    <w:multiLevelType w:val="hybridMultilevel"/>
    <w:tmpl w:val="15DAA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FA46A5"/>
    <w:multiLevelType w:val="hybridMultilevel"/>
    <w:tmpl w:val="B9DA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C543FB"/>
    <w:multiLevelType w:val="hybridMultilevel"/>
    <w:tmpl w:val="25884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757379">
    <w:abstractNumId w:val="2"/>
  </w:num>
  <w:num w:numId="2" w16cid:durableId="313488345">
    <w:abstractNumId w:val="1"/>
  </w:num>
  <w:num w:numId="3" w16cid:durableId="933636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017"/>
    <w:rsid w:val="000060E5"/>
    <w:rsid w:val="00007B0B"/>
    <w:rsid w:val="00054F13"/>
    <w:rsid w:val="00085EC2"/>
    <w:rsid w:val="00092E4B"/>
    <w:rsid w:val="000E5827"/>
    <w:rsid w:val="000F3458"/>
    <w:rsid w:val="00103D90"/>
    <w:rsid w:val="00116D7F"/>
    <w:rsid w:val="00162F67"/>
    <w:rsid w:val="001D39EE"/>
    <w:rsid w:val="001E09DE"/>
    <w:rsid w:val="001E1613"/>
    <w:rsid w:val="001F6967"/>
    <w:rsid w:val="00200436"/>
    <w:rsid w:val="0020500E"/>
    <w:rsid w:val="00211159"/>
    <w:rsid w:val="002418EB"/>
    <w:rsid w:val="002750AD"/>
    <w:rsid w:val="00277D3F"/>
    <w:rsid w:val="0028494C"/>
    <w:rsid w:val="002B0271"/>
    <w:rsid w:val="002C28A3"/>
    <w:rsid w:val="002C5E42"/>
    <w:rsid w:val="002F10B1"/>
    <w:rsid w:val="002F7344"/>
    <w:rsid w:val="00304BC1"/>
    <w:rsid w:val="00362C97"/>
    <w:rsid w:val="00384B82"/>
    <w:rsid w:val="00393B68"/>
    <w:rsid w:val="003C7A59"/>
    <w:rsid w:val="003E3A41"/>
    <w:rsid w:val="004060D2"/>
    <w:rsid w:val="00443498"/>
    <w:rsid w:val="00447994"/>
    <w:rsid w:val="00461E77"/>
    <w:rsid w:val="0046318F"/>
    <w:rsid w:val="0047108C"/>
    <w:rsid w:val="00483446"/>
    <w:rsid w:val="004976F2"/>
    <w:rsid w:val="004B547A"/>
    <w:rsid w:val="004D09AF"/>
    <w:rsid w:val="004D54A3"/>
    <w:rsid w:val="004D5FE6"/>
    <w:rsid w:val="004F640B"/>
    <w:rsid w:val="00522300"/>
    <w:rsid w:val="005430C4"/>
    <w:rsid w:val="00544CBC"/>
    <w:rsid w:val="00554041"/>
    <w:rsid w:val="005A5EF3"/>
    <w:rsid w:val="005D0FBE"/>
    <w:rsid w:val="005E4DF0"/>
    <w:rsid w:val="006013E1"/>
    <w:rsid w:val="006518A1"/>
    <w:rsid w:val="006567E0"/>
    <w:rsid w:val="006A0D68"/>
    <w:rsid w:val="007018E6"/>
    <w:rsid w:val="00705B19"/>
    <w:rsid w:val="00713E92"/>
    <w:rsid w:val="00722E13"/>
    <w:rsid w:val="00742D1A"/>
    <w:rsid w:val="00764741"/>
    <w:rsid w:val="007B3D36"/>
    <w:rsid w:val="007C5882"/>
    <w:rsid w:val="007C7F31"/>
    <w:rsid w:val="00803318"/>
    <w:rsid w:val="008112C1"/>
    <w:rsid w:val="0081648D"/>
    <w:rsid w:val="00825732"/>
    <w:rsid w:val="0089121E"/>
    <w:rsid w:val="008D304B"/>
    <w:rsid w:val="00900C04"/>
    <w:rsid w:val="0093340A"/>
    <w:rsid w:val="00945132"/>
    <w:rsid w:val="009711B5"/>
    <w:rsid w:val="009851E3"/>
    <w:rsid w:val="009A10B0"/>
    <w:rsid w:val="009B20AC"/>
    <w:rsid w:val="009F7B54"/>
    <w:rsid w:val="00A66DFE"/>
    <w:rsid w:val="00A742E1"/>
    <w:rsid w:val="00AA6857"/>
    <w:rsid w:val="00AF40A4"/>
    <w:rsid w:val="00B365FA"/>
    <w:rsid w:val="00B51CCD"/>
    <w:rsid w:val="00C27C0F"/>
    <w:rsid w:val="00C6468B"/>
    <w:rsid w:val="00C81408"/>
    <w:rsid w:val="00CB4021"/>
    <w:rsid w:val="00D040A6"/>
    <w:rsid w:val="00D542B1"/>
    <w:rsid w:val="00D56017"/>
    <w:rsid w:val="00D952D2"/>
    <w:rsid w:val="00DB6D5E"/>
    <w:rsid w:val="00E63B63"/>
    <w:rsid w:val="00E851C3"/>
    <w:rsid w:val="00E93D2A"/>
    <w:rsid w:val="00EC5A1B"/>
    <w:rsid w:val="00EF701C"/>
    <w:rsid w:val="00F17F84"/>
    <w:rsid w:val="00F30773"/>
    <w:rsid w:val="00F5259B"/>
    <w:rsid w:val="00FB0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DA89"/>
  <w15:chartTrackingRefBased/>
  <w15:docId w15:val="{47501769-B1B8-4307-BEB9-F90EA22B2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017"/>
  </w:style>
  <w:style w:type="paragraph" w:styleId="Heading1">
    <w:name w:val="heading 1"/>
    <w:basedOn w:val="Normal"/>
    <w:next w:val="Normal"/>
    <w:link w:val="Heading1Char"/>
    <w:uiPriority w:val="9"/>
    <w:qFormat/>
    <w:rsid w:val="00D56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6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6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017"/>
    <w:rPr>
      <w:rFonts w:eastAsiaTheme="majorEastAsia" w:cstheme="majorBidi"/>
      <w:color w:val="272727" w:themeColor="text1" w:themeTint="D8"/>
    </w:rPr>
  </w:style>
  <w:style w:type="paragraph" w:styleId="Title">
    <w:name w:val="Title"/>
    <w:basedOn w:val="Normal"/>
    <w:next w:val="Normal"/>
    <w:link w:val="TitleChar"/>
    <w:uiPriority w:val="10"/>
    <w:qFormat/>
    <w:rsid w:val="00D56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017"/>
    <w:pPr>
      <w:spacing w:before="160"/>
      <w:jc w:val="center"/>
    </w:pPr>
    <w:rPr>
      <w:i/>
      <w:iCs/>
      <w:color w:val="404040" w:themeColor="text1" w:themeTint="BF"/>
    </w:rPr>
  </w:style>
  <w:style w:type="character" w:customStyle="1" w:styleId="QuoteChar">
    <w:name w:val="Quote Char"/>
    <w:basedOn w:val="DefaultParagraphFont"/>
    <w:link w:val="Quote"/>
    <w:uiPriority w:val="29"/>
    <w:rsid w:val="00D56017"/>
    <w:rPr>
      <w:i/>
      <w:iCs/>
      <w:color w:val="404040" w:themeColor="text1" w:themeTint="BF"/>
    </w:rPr>
  </w:style>
  <w:style w:type="paragraph" w:styleId="ListParagraph">
    <w:name w:val="List Paragraph"/>
    <w:basedOn w:val="Normal"/>
    <w:uiPriority w:val="34"/>
    <w:qFormat/>
    <w:rsid w:val="00D56017"/>
    <w:pPr>
      <w:ind w:left="720"/>
      <w:contextualSpacing/>
    </w:pPr>
  </w:style>
  <w:style w:type="character" w:styleId="IntenseEmphasis">
    <w:name w:val="Intense Emphasis"/>
    <w:basedOn w:val="DefaultParagraphFont"/>
    <w:uiPriority w:val="21"/>
    <w:qFormat/>
    <w:rsid w:val="00D56017"/>
    <w:rPr>
      <w:i/>
      <w:iCs/>
      <w:color w:val="0F4761" w:themeColor="accent1" w:themeShade="BF"/>
    </w:rPr>
  </w:style>
  <w:style w:type="paragraph" w:styleId="IntenseQuote">
    <w:name w:val="Intense Quote"/>
    <w:basedOn w:val="Normal"/>
    <w:next w:val="Normal"/>
    <w:link w:val="IntenseQuoteChar"/>
    <w:uiPriority w:val="30"/>
    <w:qFormat/>
    <w:rsid w:val="00D56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017"/>
    <w:rPr>
      <w:i/>
      <w:iCs/>
      <w:color w:val="0F4761" w:themeColor="accent1" w:themeShade="BF"/>
    </w:rPr>
  </w:style>
  <w:style w:type="character" w:styleId="IntenseReference">
    <w:name w:val="Intense Reference"/>
    <w:basedOn w:val="DefaultParagraphFont"/>
    <w:uiPriority w:val="32"/>
    <w:qFormat/>
    <w:rsid w:val="00D56017"/>
    <w:rPr>
      <w:b/>
      <w:bCs/>
      <w:smallCaps/>
      <w:color w:val="0F4761" w:themeColor="accent1" w:themeShade="BF"/>
      <w:spacing w:val="5"/>
    </w:rPr>
  </w:style>
  <w:style w:type="paragraph" w:styleId="NormalWeb">
    <w:name w:val="Normal (Web)"/>
    <w:basedOn w:val="Normal"/>
    <w:uiPriority w:val="99"/>
    <w:semiHidden/>
    <w:unhideWhenUsed/>
    <w:rsid w:val="003E3A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7813</TotalTime>
  <Pages>13</Pages>
  <Words>4315</Words>
  <Characters>23951</Characters>
  <Application>Microsoft Office Word</Application>
  <DocSecurity>0</DocSecurity>
  <Lines>399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Karaesmen, Mehmet E</dc:creator>
  <cp:keywords/>
  <dc:description/>
  <cp:lastModifiedBy>Karaesmen, Mehmet E</cp:lastModifiedBy>
  <cp:revision>1</cp:revision>
  <dcterms:created xsi:type="dcterms:W3CDTF">2026-03-26T20:32:00Z</dcterms:created>
  <dcterms:modified xsi:type="dcterms:W3CDTF">2026-04-03T15:32:00Z</dcterms:modified>
</cp:coreProperties>
</file>